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5B" w:rsidRPr="003A1444" w:rsidRDefault="00515903" w:rsidP="00137B36">
      <w:pPr>
        <w:jc w:val="center"/>
        <w:rPr>
          <w:b/>
        </w:rPr>
      </w:pPr>
      <w:r>
        <w:rPr>
          <w:b/>
        </w:rPr>
        <w:t xml:space="preserve">Strike Two – </w:t>
      </w:r>
      <w:r w:rsidR="00072176">
        <w:rPr>
          <w:b/>
        </w:rPr>
        <w:t xml:space="preserve">This Year’s Proposal for </w:t>
      </w:r>
      <w:r w:rsidR="007F43FE">
        <w:rPr>
          <w:b/>
        </w:rPr>
        <w:t>By-Law</w:t>
      </w:r>
      <w:r>
        <w:rPr>
          <w:b/>
        </w:rPr>
        <w:t xml:space="preserve"> 46 is Still Wrong</w:t>
      </w:r>
      <w:r w:rsidR="00137B36" w:rsidRPr="003A1444">
        <w:rPr>
          <w:b/>
        </w:rPr>
        <w:t>_v</w:t>
      </w:r>
      <w:r w:rsidR="007F43FE">
        <w:rPr>
          <w:b/>
        </w:rPr>
        <w:t>5</w:t>
      </w:r>
    </w:p>
    <w:p w:rsidR="00137B36" w:rsidRDefault="00072EEF" w:rsidP="00072EEF">
      <w:pPr>
        <w:spacing w:after="0"/>
        <w:jc w:val="center"/>
      </w:pPr>
      <w:proofErr w:type="gramStart"/>
      <w:r>
        <w:t>b</w:t>
      </w:r>
      <w:r w:rsidR="00137B36">
        <w:t>y</w:t>
      </w:r>
      <w:proofErr w:type="gramEnd"/>
    </w:p>
    <w:p w:rsidR="00137B36" w:rsidRDefault="00137B36" w:rsidP="00072EEF">
      <w:pPr>
        <w:spacing w:after="0"/>
        <w:jc w:val="center"/>
      </w:pPr>
      <w:r>
        <w:t>Fred Hopengarten, Esq., K1VR</w:t>
      </w:r>
      <w:r w:rsidR="003A1444">
        <w:rPr>
          <w:rStyle w:val="FootnoteReference"/>
        </w:rPr>
        <w:footnoteReference w:id="1"/>
      </w:r>
    </w:p>
    <w:p w:rsidR="005C769F" w:rsidRDefault="005C769F" w:rsidP="00072EEF">
      <w:pPr>
        <w:spacing w:after="0"/>
        <w:jc w:val="center"/>
      </w:pPr>
      <w:r>
        <w:t>January 3, 2025</w:t>
      </w:r>
    </w:p>
    <w:p w:rsidR="00137B36" w:rsidRPr="00137B36" w:rsidRDefault="00137B36" w:rsidP="00137B36">
      <w:pPr>
        <w:rPr>
          <w:b/>
        </w:rPr>
      </w:pPr>
      <w:r w:rsidRPr="00137B36">
        <w:rPr>
          <w:b/>
        </w:rPr>
        <w:t>Prologue</w:t>
      </w:r>
      <w:r w:rsidR="004D5337">
        <w:rPr>
          <w:b/>
        </w:rPr>
        <w:t xml:space="preserve"> </w:t>
      </w:r>
    </w:p>
    <w:p w:rsidR="00137B36" w:rsidRDefault="00137B36" w:rsidP="00DF1149">
      <w:pPr>
        <w:ind w:firstLine="360"/>
      </w:pPr>
      <w:bookmarkStart w:id="0" w:name="_GoBack"/>
      <w:bookmarkEnd w:id="0"/>
      <w:r>
        <w:t>Exodus 20:1-17 contains the Ten Commandments. In English, it is 3</w:t>
      </w:r>
      <w:r w:rsidR="00662BCB">
        <w:t>31</w:t>
      </w:r>
      <w:r>
        <w:t xml:space="preserve"> words.</w:t>
      </w:r>
      <w:r w:rsidR="00662BCB">
        <w:rPr>
          <w:rStyle w:val="FootnoteReference"/>
        </w:rPr>
        <w:footnoteReference w:id="2"/>
      </w:r>
    </w:p>
    <w:p w:rsidR="00137B36" w:rsidRPr="00137B36" w:rsidRDefault="00137B36" w:rsidP="00DF1149">
      <w:pPr>
        <w:ind w:firstLine="360"/>
        <w:rPr>
          <w:rFonts w:cstheme="minorHAnsi"/>
          <w:spacing w:val="2"/>
          <w:shd w:val="clear" w:color="auto" w:fill="FFFFFF"/>
        </w:rPr>
      </w:pPr>
      <w:proofErr w:type="gramStart"/>
      <w:r>
        <w:t>Too many words?</w:t>
      </w:r>
      <w:proofErr w:type="gramEnd"/>
      <w:r>
        <w:t xml:space="preserve"> Hillel said:</w:t>
      </w:r>
      <w:r w:rsidRPr="001E1FF1">
        <w:rPr>
          <w:rFonts w:ascii="Roboto" w:hAnsi="Roboto"/>
          <w:color w:val="545D7E"/>
          <w:spacing w:val="2"/>
          <w:shd w:val="clear" w:color="auto" w:fill="FFFFFF"/>
        </w:rPr>
        <w:t xml:space="preserve"> </w:t>
      </w:r>
      <w:r w:rsidRPr="00137B36">
        <w:rPr>
          <w:rFonts w:cstheme="minorHAnsi"/>
          <w:spacing w:val="2"/>
          <w:shd w:val="clear" w:color="auto" w:fill="FFFFFF"/>
        </w:rPr>
        <w:t>“That which is hateful to you, do not unto another: This is the whole Torah. The rest is commentary.”</w:t>
      </w:r>
      <w:r w:rsidR="00662BCB">
        <w:rPr>
          <w:rFonts w:cstheme="minorHAnsi"/>
          <w:spacing w:val="2"/>
          <w:shd w:val="clear" w:color="auto" w:fill="FFFFFF"/>
        </w:rPr>
        <w:t xml:space="preserve"> </w:t>
      </w:r>
      <w:proofErr w:type="gramStart"/>
      <w:r w:rsidR="00662BCB">
        <w:rPr>
          <w:rFonts w:cstheme="minorHAnsi"/>
          <w:spacing w:val="2"/>
          <w:shd w:val="clear" w:color="auto" w:fill="FFFFFF"/>
        </w:rPr>
        <w:t>19 words.</w:t>
      </w:r>
      <w:proofErr w:type="gramEnd"/>
    </w:p>
    <w:p w:rsidR="00137B36" w:rsidRDefault="00137B36" w:rsidP="00DF1149">
      <w:pPr>
        <w:ind w:firstLine="360"/>
      </w:pPr>
      <w:r>
        <w:t>Those authors thought that was enough to prescribe an ethical life.</w:t>
      </w:r>
    </w:p>
    <w:p w:rsidR="00137B36" w:rsidRDefault="00662BCB" w:rsidP="00DF1149">
      <w:pPr>
        <w:ind w:firstLine="360"/>
      </w:pPr>
      <w:r>
        <w:t>What about modern life? L</w:t>
      </w:r>
      <w:r w:rsidR="00137B36">
        <w:t xml:space="preserve">ook at </w:t>
      </w:r>
      <w:r w:rsidR="006A60DC">
        <w:t xml:space="preserve">“The Senate Code of Official Conduct.” </w:t>
      </w:r>
      <w:r w:rsidR="006A60DC">
        <w:rPr>
          <w:rStyle w:val="FootnoteReference"/>
        </w:rPr>
        <w:footnoteReference w:id="3"/>
      </w:r>
      <w:r w:rsidR="006A60DC">
        <w:t xml:space="preserve"> Before Appendices, it has 29 pages. That’s far fewer pages than the ARRL effort, </w:t>
      </w:r>
      <w:r w:rsidR="00692D79">
        <w:t>and covers much more! It</w:t>
      </w:r>
      <w:r w:rsidR="006A60DC">
        <w:t xml:space="preserve"> must also cover foreign travel, the franking privilege, use of radio and television studios, political funds, employment practices, and financial disclosures. Those are not concerns for the ARRL.   </w:t>
      </w:r>
    </w:p>
    <w:p w:rsidR="007255E2" w:rsidRDefault="00137B36" w:rsidP="00DF1149">
      <w:pPr>
        <w:ind w:firstLine="360"/>
      </w:pPr>
      <w:proofErr w:type="gramStart"/>
      <w:r>
        <w:t xml:space="preserve">But the authors of the </w:t>
      </w:r>
      <w:r w:rsidR="002513AD">
        <w:t xml:space="preserve">Second </w:t>
      </w:r>
      <w:r>
        <w:t xml:space="preserve">Proposed </w:t>
      </w:r>
      <w:r w:rsidR="007F43FE">
        <w:t>By-Law</w:t>
      </w:r>
      <w:r>
        <w:t xml:space="preserve"> 46?</w:t>
      </w:r>
      <w:proofErr w:type="gramEnd"/>
      <w:r w:rsidR="006A60DC">
        <w:t xml:space="preserve"> </w:t>
      </w:r>
      <w:r>
        <w:t xml:space="preserve"> </w:t>
      </w:r>
      <w:r w:rsidR="006A60DC">
        <w:t xml:space="preserve">To regulate behavior and conflicts of interest, </w:t>
      </w:r>
      <w:r w:rsidR="009079F3">
        <w:t xml:space="preserve">they include </w:t>
      </w:r>
      <w:r w:rsidR="007F07A6">
        <w:t>HUNDREDS of pages – which I suggest no committee member has read</w:t>
      </w:r>
      <w:r w:rsidR="001C246C">
        <w:t>.</w:t>
      </w:r>
      <w:r w:rsidR="007255E2">
        <w:t xml:space="preserve"> </w:t>
      </w:r>
      <w:r w:rsidR="001C246C">
        <w:t>N</w:t>
      </w:r>
      <w:r w:rsidR="007255E2">
        <w:t>or are some of the requirements, even if you read them, comprehend</w:t>
      </w:r>
      <w:r w:rsidR="003A5029">
        <w:t>i</w:t>
      </w:r>
      <w:r w:rsidR="007255E2">
        <w:t>ble</w:t>
      </w:r>
      <w:r w:rsidR="007F07A6">
        <w:t xml:space="preserve">. </w:t>
      </w:r>
      <w:r w:rsidR="003A7ECE">
        <w:t>As</w:t>
      </w:r>
      <w:r w:rsidR="007F07A6">
        <w:t xml:space="preserve"> example</w:t>
      </w:r>
      <w:r w:rsidR="003A7ECE">
        <w:t>s</w:t>
      </w:r>
      <w:r w:rsidR="007F07A6">
        <w:t xml:space="preserve">, even if a Director has read the ARRL Standing Orders, now integrated into </w:t>
      </w:r>
      <w:r w:rsidR="007F43FE">
        <w:t>By-Law</w:t>
      </w:r>
      <w:r w:rsidR="007F07A6">
        <w:t xml:space="preserve"> 46, </w:t>
      </w:r>
      <w:r w:rsidR="007255E2">
        <w:t>what do</w:t>
      </w:r>
      <w:r w:rsidR="0090188D">
        <w:t xml:space="preserve"> they say?</w:t>
      </w:r>
    </w:p>
    <w:p w:rsidR="003A7ECE" w:rsidRDefault="003A7ECE" w:rsidP="00692D79">
      <w:pPr>
        <w:spacing w:after="0"/>
        <w:ind w:left="1080" w:right="720"/>
        <w:rPr>
          <w:rFonts w:ascii="Times New Roman" w:hAnsi="Times New Roman" w:cs="Times New Roman"/>
        </w:rPr>
      </w:pPr>
      <w:r w:rsidRPr="003A7ECE">
        <w:rPr>
          <w:rFonts w:ascii="Times New Roman" w:hAnsi="Times New Roman" w:cs="Times New Roman"/>
        </w:rPr>
        <w:t>2.3.2</w:t>
      </w:r>
    </w:p>
    <w:p w:rsidR="003A7ECE" w:rsidRDefault="003A7ECE" w:rsidP="00692D79">
      <w:pPr>
        <w:spacing w:after="0"/>
        <w:ind w:left="1080" w:right="720"/>
        <w:rPr>
          <w:rFonts w:ascii="Times New Roman" w:hAnsi="Times New Roman" w:cs="Times New Roman"/>
        </w:rPr>
      </w:pPr>
    </w:p>
    <w:p w:rsidR="003A7ECE" w:rsidRDefault="003A7ECE" w:rsidP="00692D79">
      <w:pPr>
        <w:spacing w:after="0"/>
        <w:ind w:left="1080" w:right="720"/>
        <w:rPr>
          <w:rFonts w:ascii="Times New Roman" w:hAnsi="Times New Roman" w:cs="Times New Roman"/>
        </w:rPr>
      </w:pPr>
      <w:r w:rsidRPr="003A7ECE">
        <w:rPr>
          <w:rFonts w:ascii="Times New Roman" w:hAnsi="Times New Roman" w:cs="Times New Roman"/>
        </w:rPr>
        <w:t>[SO #11-1.26] The Board adopts the policy on electronic recording of ARRL Board and</w:t>
      </w:r>
      <w:r>
        <w:rPr>
          <w:rFonts w:ascii="Times New Roman" w:hAnsi="Times New Roman" w:cs="Times New Roman"/>
        </w:rPr>
        <w:t xml:space="preserve"> </w:t>
      </w:r>
      <w:r w:rsidRPr="003A7ECE">
        <w:rPr>
          <w:rFonts w:ascii="Times New Roman" w:hAnsi="Times New Roman" w:cs="Times New Roman"/>
        </w:rPr>
        <w:t>committee meetings recommended by the Executive Committee, effective as of the end of this</w:t>
      </w:r>
      <w:r>
        <w:rPr>
          <w:rFonts w:ascii="Times New Roman" w:hAnsi="Times New Roman" w:cs="Times New Roman"/>
        </w:rPr>
        <w:t xml:space="preserve"> </w:t>
      </w:r>
      <w:r w:rsidRPr="003A7ECE">
        <w:rPr>
          <w:rFonts w:ascii="Times New Roman" w:hAnsi="Times New Roman" w:cs="Times New Roman"/>
        </w:rPr>
        <w:t>meeting.</w:t>
      </w:r>
    </w:p>
    <w:p w:rsidR="003A7ECE" w:rsidRPr="003A7ECE" w:rsidRDefault="003A7ECE" w:rsidP="00692D79">
      <w:pPr>
        <w:spacing w:after="0"/>
        <w:ind w:left="1080" w:right="720"/>
        <w:rPr>
          <w:rFonts w:ascii="Times New Roman" w:hAnsi="Times New Roman" w:cs="Times New Roman"/>
        </w:rPr>
      </w:pPr>
    </w:p>
    <w:p w:rsidR="007255E2" w:rsidRPr="007255E2" w:rsidRDefault="007255E2" w:rsidP="00692D79">
      <w:pPr>
        <w:ind w:left="1080" w:right="720"/>
        <w:rPr>
          <w:rFonts w:ascii="Times New Roman" w:hAnsi="Times New Roman" w:cs="Times New Roman"/>
        </w:rPr>
      </w:pPr>
      <w:r w:rsidRPr="007255E2">
        <w:rPr>
          <w:rFonts w:ascii="Times New Roman" w:hAnsi="Times New Roman" w:cs="Times New Roman"/>
        </w:rPr>
        <w:t>2.6 Whistleblower Policy</w:t>
      </w:r>
    </w:p>
    <w:p w:rsidR="00137B36" w:rsidRDefault="007255E2" w:rsidP="00692D79">
      <w:pPr>
        <w:ind w:left="1080" w:right="720"/>
        <w:rPr>
          <w:rFonts w:ascii="Times New Roman" w:hAnsi="Times New Roman" w:cs="Times New Roman"/>
        </w:rPr>
      </w:pPr>
      <w:r w:rsidRPr="007255E2">
        <w:rPr>
          <w:rFonts w:ascii="Times New Roman" w:hAnsi="Times New Roman" w:cs="Times New Roman"/>
        </w:rPr>
        <w:t>[SO #09-1.25]  The Whistleblower policy as recommended by the Administration and Finance Committee [is] adopted.</w:t>
      </w:r>
      <w:r w:rsidR="003A5029">
        <w:rPr>
          <w:rStyle w:val="FootnoteReference"/>
          <w:rFonts w:ascii="Times New Roman" w:hAnsi="Times New Roman" w:cs="Times New Roman"/>
        </w:rPr>
        <w:footnoteReference w:id="4"/>
      </w:r>
      <w:r w:rsidR="007F07A6" w:rsidRPr="007255E2">
        <w:rPr>
          <w:rFonts w:ascii="Times New Roman" w:hAnsi="Times New Roman" w:cs="Times New Roman"/>
        </w:rPr>
        <w:t xml:space="preserve"> </w:t>
      </w:r>
    </w:p>
    <w:p w:rsidR="007255E2" w:rsidRDefault="007255E2" w:rsidP="00DF1149">
      <w:pPr>
        <w:ind w:firstLine="360"/>
        <w:rPr>
          <w:rFonts w:cstheme="minorHAnsi"/>
        </w:rPr>
      </w:pPr>
      <w:r w:rsidRPr="007255E2">
        <w:rPr>
          <w:rFonts w:cstheme="minorHAnsi"/>
          <w:i/>
        </w:rPr>
        <w:lastRenderedPageBreak/>
        <w:t>Given that language,</w:t>
      </w:r>
      <w:r>
        <w:rPr>
          <w:rFonts w:cstheme="minorHAnsi"/>
        </w:rPr>
        <w:t xml:space="preserve"> how could a Director possibly know if he has violated a policy which is not before him or her?</w:t>
      </w:r>
      <w:r w:rsidR="001C246C">
        <w:rPr>
          <w:rFonts w:cstheme="minorHAnsi"/>
        </w:rPr>
        <w:t xml:space="preserve"> </w:t>
      </w:r>
    </w:p>
    <w:p w:rsidR="001C246C" w:rsidRDefault="001C246C" w:rsidP="00DF1149">
      <w:pPr>
        <w:ind w:firstLine="360"/>
        <w:rPr>
          <w:rFonts w:cstheme="minorHAnsi"/>
        </w:rPr>
      </w:pPr>
      <w:r>
        <w:rPr>
          <w:rFonts w:cstheme="minorHAnsi"/>
        </w:rPr>
        <w:t xml:space="preserve">So let’s look at Proposed </w:t>
      </w:r>
      <w:r w:rsidR="007F43FE">
        <w:rPr>
          <w:rFonts w:cstheme="minorHAnsi"/>
        </w:rPr>
        <w:t>By-Law</w:t>
      </w:r>
      <w:r>
        <w:rPr>
          <w:rFonts w:cstheme="minorHAnsi"/>
        </w:rPr>
        <w:t xml:space="preserve"> 46, entitled: “</w:t>
      </w:r>
      <w:r>
        <w:t>Board Member Statement on Authority, Responsibility, and Expectations.”</w:t>
      </w:r>
    </w:p>
    <w:p w:rsidR="007255E2" w:rsidRDefault="0090188D" w:rsidP="007255E2">
      <w:pPr>
        <w:rPr>
          <w:rFonts w:cstheme="minorHAnsi"/>
          <w:b/>
        </w:rPr>
      </w:pPr>
      <w:r w:rsidRPr="0090188D">
        <w:rPr>
          <w:rFonts w:cstheme="minorHAnsi"/>
          <w:b/>
        </w:rPr>
        <w:t>Content</w:t>
      </w:r>
      <w:r w:rsidR="004D5337">
        <w:rPr>
          <w:rFonts w:cstheme="minorHAnsi"/>
          <w:b/>
        </w:rPr>
        <w:t>: HOW MANY PAGES?</w:t>
      </w:r>
    </w:p>
    <w:p w:rsidR="00CD2A05" w:rsidRDefault="001C246C" w:rsidP="00DF1149">
      <w:pPr>
        <w:ind w:firstLine="360"/>
      </w:pPr>
      <w:r>
        <w:rPr>
          <w:rFonts w:cstheme="minorHAnsi"/>
        </w:rPr>
        <w:t xml:space="preserve">Proposed </w:t>
      </w:r>
      <w:r w:rsidR="007F43FE">
        <w:rPr>
          <w:rFonts w:cstheme="minorHAnsi"/>
        </w:rPr>
        <w:t>By-Law</w:t>
      </w:r>
      <w:r w:rsidR="00135726">
        <w:rPr>
          <w:rFonts w:cstheme="minorHAnsi"/>
        </w:rPr>
        <w:t xml:space="preserve"> 46</w:t>
      </w:r>
      <w:r w:rsidR="00E10C65">
        <w:rPr>
          <w:rFonts w:cstheme="minorHAnsi"/>
        </w:rPr>
        <w:t xml:space="preserve"> </w:t>
      </w:r>
      <w:r w:rsidR="00E10C65">
        <w:rPr>
          <w:rStyle w:val="FootnoteReference"/>
          <w:rFonts w:cstheme="minorHAnsi"/>
        </w:rPr>
        <w:footnoteReference w:id="5"/>
      </w:r>
      <w:r w:rsidR="00E10C65">
        <w:t xml:space="preserve"> </w:t>
      </w:r>
      <w:r w:rsidR="00E10C65">
        <w:rPr>
          <w:rFonts w:cstheme="minorHAnsi"/>
        </w:rPr>
        <w:t xml:space="preserve">has 858 words. It </w:t>
      </w:r>
      <w:r w:rsidR="00135726">
        <w:rPr>
          <w:rFonts w:cstheme="minorHAnsi"/>
        </w:rPr>
        <w:t>incorporates by reference the “</w:t>
      </w:r>
      <w:r w:rsidR="00135726">
        <w:t>Board Member Statement on Authority, Responsibility, and Expectations” (Board Member Statement)</w:t>
      </w:r>
      <w:r w:rsidR="00E10C65">
        <w:t xml:space="preserve">. </w:t>
      </w:r>
      <w:r w:rsidR="00E10C65">
        <w:rPr>
          <w:rStyle w:val="FootnoteReference"/>
        </w:rPr>
        <w:footnoteReference w:id="6"/>
      </w:r>
      <w:r w:rsidR="00E10C65">
        <w:t xml:space="preserve"> If you are trying to follow along at home, the </w:t>
      </w:r>
      <w:r w:rsidR="007F43FE">
        <w:t>By-Law</w:t>
      </w:r>
      <w:r w:rsidR="00E10C65">
        <w:t xml:space="preserve"> called “Board Member Statement” includes a separate document also called “Board Member Statement.”</w:t>
      </w:r>
      <w:r w:rsidR="00CD2A05">
        <w:t xml:space="preserve"> That one has </w:t>
      </w:r>
      <w:r w:rsidR="00061FC4">
        <w:t xml:space="preserve">seven pages and </w:t>
      </w:r>
      <w:r w:rsidR="00CD2A05">
        <w:t>2,577 words.</w:t>
      </w:r>
      <w:r w:rsidR="00711375">
        <w:rPr>
          <w:rStyle w:val="FootnoteReference"/>
        </w:rPr>
        <w:footnoteReference w:id="7"/>
      </w:r>
      <w:r w:rsidR="00711375">
        <w:t xml:space="preserve"> If you are curious, that’s where you can find the ARRL Conflict of Interest Policy – which is not obvious because the “Board Member Statement” has no index or table of contents.</w:t>
      </w:r>
    </w:p>
    <w:p w:rsidR="00CD2A05" w:rsidRDefault="00CD2A05" w:rsidP="00DF1149">
      <w:pPr>
        <w:ind w:firstLine="360"/>
      </w:pPr>
      <w:r>
        <w:t>But wait, there’s more! Also incorporated by reference, are other “governing documents”:</w:t>
      </w:r>
    </w:p>
    <w:p w:rsidR="00CD2A05" w:rsidRDefault="00CD2A05" w:rsidP="00CD2A05">
      <w:pPr>
        <w:pStyle w:val="ListParagraph"/>
        <w:numPr>
          <w:ilvl w:val="0"/>
          <w:numId w:val="1"/>
        </w:numPr>
      </w:pPr>
      <w:r>
        <w:t>Connecticut Revised Nonstock Corporation Act</w:t>
      </w:r>
      <w:r w:rsidR="00711375">
        <w:rPr>
          <w:rStyle w:val="FootnoteReference"/>
        </w:rPr>
        <w:footnoteReference w:id="8"/>
      </w:r>
      <w:r w:rsidR="00583FC1">
        <w:t xml:space="preserve"> (71 sections, and who knows how many pages)</w:t>
      </w:r>
      <w:r>
        <w:t>,</w:t>
      </w:r>
    </w:p>
    <w:p w:rsidR="00583FC1" w:rsidRDefault="00CD2A05" w:rsidP="009658E0">
      <w:pPr>
        <w:pStyle w:val="ListParagraph"/>
        <w:numPr>
          <w:ilvl w:val="0"/>
          <w:numId w:val="1"/>
        </w:numPr>
      </w:pPr>
      <w:r>
        <w:t>ARRL Articles of Association</w:t>
      </w:r>
      <w:r w:rsidR="00583FC1">
        <w:t xml:space="preserve"> </w:t>
      </w:r>
      <w:r w:rsidR="00583FC1">
        <w:rPr>
          <w:rStyle w:val="FootnoteReference"/>
        </w:rPr>
        <w:footnoteReference w:id="9"/>
      </w:r>
      <w:r w:rsidR="009658E0">
        <w:t xml:space="preserve"> (14 articles</w:t>
      </w:r>
      <w:r w:rsidR="00583FC1">
        <w:t>, and who knows how many pages)</w:t>
      </w:r>
      <w:r w:rsidR="009658E0">
        <w:t>,</w:t>
      </w:r>
    </w:p>
    <w:p w:rsidR="00CD2A05" w:rsidRDefault="00CD2A05" w:rsidP="009658E0">
      <w:pPr>
        <w:pStyle w:val="ListParagraph"/>
        <w:numPr>
          <w:ilvl w:val="0"/>
          <w:numId w:val="1"/>
        </w:numPr>
      </w:pPr>
      <w:r>
        <w:t>ARRL By-Laws</w:t>
      </w:r>
      <w:r w:rsidR="00583FC1">
        <w:rPr>
          <w:rStyle w:val="FootnoteReference"/>
        </w:rPr>
        <w:footnoteReference w:id="10"/>
      </w:r>
      <w:r w:rsidR="009658E0">
        <w:t xml:space="preserve"> (17 pages)</w:t>
      </w:r>
      <w:r>
        <w:t>,</w:t>
      </w:r>
    </w:p>
    <w:p w:rsidR="00CD2A05" w:rsidRDefault="00CD2A05" w:rsidP="009658E0">
      <w:pPr>
        <w:pStyle w:val="ListParagraph"/>
        <w:numPr>
          <w:ilvl w:val="0"/>
          <w:numId w:val="1"/>
        </w:numPr>
      </w:pPr>
      <w:r>
        <w:t>ARRL Rules &amp; Regulations</w:t>
      </w:r>
      <w:r w:rsidR="009658E0">
        <w:t xml:space="preserve"> [Concerning Elections]</w:t>
      </w:r>
      <w:r w:rsidR="00583FC1">
        <w:rPr>
          <w:rStyle w:val="FootnoteReference"/>
        </w:rPr>
        <w:footnoteReference w:id="11"/>
      </w:r>
      <w:r w:rsidR="00583FC1">
        <w:t xml:space="preserve"> (10 sections and who knows how many pages)</w:t>
      </w:r>
      <w:r>
        <w:t>,</w:t>
      </w:r>
    </w:p>
    <w:p w:rsidR="00CD2A05" w:rsidRDefault="00CD2A05" w:rsidP="009658E0">
      <w:pPr>
        <w:pStyle w:val="ListParagraph"/>
        <w:numPr>
          <w:ilvl w:val="0"/>
          <w:numId w:val="1"/>
        </w:numPr>
      </w:pPr>
      <w:r>
        <w:t>ARRL Standing Orders</w:t>
      </w:r>
      <w:r w:rsidR="009658E0">
        <w:t xml:space="preserve"> </w:t>
      </w:r>
      <w:r w:rsidR="00583FC1">
        <w:rPr>
          <w:rStyle w:val="FootnoteReference"/>
        </w:rPr>
        <w:footnoteReference w:id="12"/>
      </w:r>
      <w:r w:rsidR="009658E0">
        <w:t>(30 pages)</w:t>
      </w:r>
      <w:r>
        <w:t>,</w:t>
      </w:r>
      <w:r w:rsidR="00072EEF">
        <w:t xml:space="preserve"> and</w:t>
      </w:r>
    </w:p>
    <w:p w:rsidR="00CD2A05" w:rsidRDefault="00CD2A05" w:rsidP="009658E0">
      <w:pPr>
        <w:pStyle w:val="ListParagraph"/>
        <w:numPr>
          <w:ilvl w:val="0"/>
          <w:numId w:val="1"/>
        </w:numPr>
      </w:pPr>
      <w:r>
        <w:t>ARRL Director Workbook</w:t>
      </w:r>
      <w:r w:rsidR="009658E0">
        <w:t xml:space="preserve"> (</w:t>
      </w:r>
      <w:r w:rsidR="00662BCB">
        <w:t xml:space="preserve">113 sections, and I got tired trying to count the pages, </w:t>
      </w:r>
      <w:hyperlink r:id="rId9" w:history="1">
        <w:r w:rsidR="009658E0" w:rsidRPr="00212FB8">
          <w:rPr>
            <w:rStyle w:val="Hyperlink"/>
          </w:rPr>
          <w:t>https://www.arrl.org/director-workbook</w:t>
        </w:r>
      </w:hyperlink>
      <w:r w:rsidR="00662BCB">
        <w:t>)</w:t>
      </w:r>
      <w:r>
        <w:t xml:space="preserve">. </w:t>
      </w:r>
    </w:p>
    <w:p w:rsidR="00555017" w:rsidRDefault="00555017" w:rsidP="004D5337">
      <w:r>
        <w:t xml:space="preserve">I apologize that this document is </w:t>
      </w:r>
      <w:r w:rsidR="00072176">
        <w:t>11</w:t>
      </w:r>
      <w:r>
        <w:t xml:space="preserve"> pages. But </w:t>
      </w:r>
      <w:r w:rsidR="00072176">
        <w:t xml:space="preserve">it </w:t>
      </w:r>
      <w:r>
        <w:t>comment</w:t>
      </w:r>
      <w:r w:rsidR="00072176">
        <w:t>s</w:t>
      </w:r>
      <w:r>
        <w:t xml:space="preserve"> on hundreds of pages!</w:t>
      </w:r>
    </w:p>
    <w:p w:rsidR="004D5337" w:rsidRDefault="002513AD" w:rsidP="004D5337">
      <w:r>
        <w:t xml:space="preserve">Why comment on the </w:t>
      </w:r>
      <w:r w:rsidRPr="00072176">
        <w:rPr>
          <w:i/>
        </w:rPr>
        <w:t>quantity</w:t>
      </w:r>
      <w:r>
        <w:t xml:space="preserve"> of material? </w:t>
      </w:r>
      <w:r w:rsidR="005C769F" w:rsidRPr="009079F3">
        <w:t>Because</w:t>
      </w:r>
      <w:r w:rsidR="005C769F" w:rsidRPr="004D5337">
        <w:rPr>
          <w:i/>
        </w:rPr>
        <w:t xml:space="preserve"> </w:t>
      </w:r>
      <w:r w:rsidR="00CD2A05" w:rsidRPr="004D5337">
        <w:rPr>
          <w:i/>
        </w:rPr>
        <w:t>that’s not all</w:t>
      </w:r>
      <w:r w:rsidR="00662BCB" w:rsidRPr="004D5337">
        <w:rPr>
          <w:i/>
        </w:rPr>
        <w:t>!</w:t>
      </w:r>
    </w:p>
    <w:p w:rsidR="00CD2A05" w:rsidRDefault="00CD2A05" w:rsidP="00DF1149">
      <w:pPr>
        <w:pStyle w:val="ListParagraph"/>
        <w:ind w:left="0" w:firstLine="360"/>
      </w:pPr>
      <w:r>
        <w:t>In addition, “Board Members are subject to</w:t>
      </w:r>
      <w:r w:rsidRPr="00CD2A05">
        <w:t xml:space="preserve"> considerations of best corporate practice</w:t>
      </w:r>
      <w:r>
        <w:t>.” If ever there was an undefined term, you are looking at it. Good luck finding out what that means.</w:t>
      </w:r>
      <w:r w:rsidR="00072EEF">
        <w:t xml:space="preserve"> But for failure to follow “best corporate practice,” you could be tossed from the Board – in perpetuity. </w:t>
      </w:r>
      <w:proofErr w:type="gramStart"/>
      <w:r w:rsidR="004D5337">
        <w:t xml:space="preserve">More </w:t>
      </w:r>
      <w:r w:rsidR="00072EEF">
        <w:t>later.</w:t>
      </w:r>
      <w:proofErr w:type="gramEnd"/>
    </w:p>
    <w:p w:rsidR="00072EEF" w:rsidRPr="00583FC1" w:rsidRDefault="00CF4E82" w:rsidP="00583FC1">
      <w:pPr>
        <w:rPr>
          <w:b/>
        </w:rPr>
      </w:pPr>
      <w:r>
        <w:rPr>
          <w:b/>
        </w:rPr>
        <w:t>There’s a Hidden Way to Change the Rules</w:t>
      </w:r>
    </w:p>
    <w:p w:rsidR="007A2431" w:rsidRDefault="009079F3" w:rsidP="00DF1149">
      <w:pPr>
        <w:ind w:firstLine="360"/>
      </w:pPr>
      <w:r>
        <w:t>I</w:t>
      </w:r>
      <w:r w:rsidR="007A2431">
        <w:t>t pays to read what is written, so that it is possible to understand what is not written. This is true here on the question of “moving the goal posts.”</w:t>
      </w:r>
    </w:p>
    <w:p w:rsidR="007A2431" w:rsidRDefault="007A2431" w:rsidP="00DF1149">
      <w:pPr>
        <w:ind w:firstLine="360"/>
      </w:pPr>
      <w:r>
        <w:t xml:space="preserve">Proposed </w:t>
      </w:r>
      <w:r w:rsidR="007F43FE">
        <w:t>By-Law</w:t>
      </w:r>
      <w:r>
        <w:t xml:space="preserve"> 46 (b) reads: </w:t>
      </w:r>
    </w:p>
    <w:p w:rsidR="007A2431" w:rsidRPr="007A2431" w:rsidRDefault="007A2431" w:rsidP="00692D79">
      <w:pPr>
        <w:ind w:left="1080" w:right="720"/>
        <w:rPr>
          <w:rFonts w:ascii="Times New Roman" w:hAnsi="Times New Roman" w:cs="Times New Roman"/>
        </w:rPr>
      </w:pPr>
      <w:r w:rsidRPr="007A2431">
        <w:rPr>
          <w:rFonts w:ascii="Times New Roman" w:hAnsi="Times New Roman" w:cs="Times New Roman"/>
        </w:rPr>
        <w:t xml:space="preserve">With the proviso of explicit exceptions stated within the Board Member Statement, the Board Member Statement may be amended only by following the process defined in the Articles of Incorporation </w:t>
      </w:r>
      <w:r>
        <w:rPr>
          <w:rFonts w:ascii="Times New Roman" w:hAnsi="Times New Roman" w:cs="Times New Roman"/>
          <w:i/>
        </w:rPr>
        <w:t xml:space="preserve">[sic] </w:t>
      </w:r>
      <w:r w:rsidRPr="007A2431">
        <w:rPr>
          <w:rFonts w:ascii="Times New Roman" w:hAnsi="Times New Roman" w:cs="Times New Roman"/>
        </w:rPr>
        <w:t>for amendment of these By-Laws.</w:t>
      </w:r>
    </w:p>
    <w:p w:rsidR="007A2431" w:rsidRDefault="007A2431" w:rsidP="007A2431">
      <w:proofErr w:type="spellStart"/>
      <w:proofErr w:type="gramStart"/>
      <w:r>
        <w:t>Bzzzzzt</w:t>
      </w:r>
      <w:proofErr w:type="spellEnd"/>
      <w:r>
        <w:t>.</w:t>
      </w:r>
      <w:proofErr w:type="gramEnd"/>
      <w:r>
        <w:t xml:space="preserve"> They are not “Articles of Incorporation.” They are “Articles of Association.” See </w:t>
      </w:r>
      <w:hyperlink r:id="rId10" w:history="1">
        <w:r w:rsidRPr="00212FB8">
          <w:rPr>
            <w:rStyle w:val="Hyperlink"/>
          </w:rPr>
          <w:t>https://www.arrl.org/arrl-articles-of-association</w:t>
        </w:r>
      </w:hyperlink>
      <w:r>
        <w:t xml:space="preserve">. </w:t>
      </w:r>
      <w:r w:rsidR="00CF4E82">
        <w:t xml:space="preserve">Did anyone proof-read this thing? </w:t>
      </w:r>
      <w:r>
        <w:t>But that’s just bad lawyering, not bad policy.</w:t>
      </w:r>
    </w:p>
    <w:p w:rsidR="00FB5331" w:rsidRDefault="00FB5331" w:rsidP="00DF1149">
      <w:pPr>
        <w:ind w:firstLine="360"/>
      </w:pPr>
      <w:r>
        <w:t>And what is the “process defined in the Articles of [Association]? It is:</w:t>
      </w:r>
    </w:p>
    <w:p w:rsidR="00FB5331" w:rsidRPr="00FB5331" w:rsidRDefault="00FB5331" w:rsidP="00692D79">
      <w:pPr>
        <w:ind w:left="1080" w:right="720"/>
        <w:rPr>
          <w:rFonts w:ascii="Times New Roman" w:hAnsi="Times New Roman" w:cs="Times New Roman"/>
        </w:rPr>
      </w:pPr>
      <w:r w:rsidRPr="00FB5331">
        <w:rPr>
          <w:rFonts w:ascii="Times New Roman" w:hAnsi="Times New Roman" w:cs="Times New Roman"/>
          <w:shd w:val="clear" w:color="auto" w:fill="FFFFFF"/>
        </w:rPr>
        <w:t>By-Laws may be amended by a three-fourths vote of all Directors, or, provided due notice of the proposed amendment shall be mailed to each Director at least thirty days in advance, by a two-thirds vote of all Directors.</w:t>
      </w:r>
    </w:p>
    <w:p w:rsidR="00FB5331" w:rsidRDefault="00CF4E82" w:rsidP="00DF1149">
      <w:pPr>
        <w:ind w:firstLine="360"/>
      </w:pPr>
      <w:r>
        <w:t>A</w:t>
      </w:r>
      <w:r w:rsidR="00FB5331">
        <w:t xml:space="preserve">t first blush, </w:t>
      </w:r>
      <w:r>
        <w:t xml:space="preserve">this seems </w:t>
      </w:r>
      <w:r w:rsidR="00FB5331">
        <w:t>like a safeguard against “moving the goal posts” too easily. But t</w:t>
      </w:r>
      <w:r w:rsidR="007A2431">
        <w:t>he bad policy is this:</w:t>
      </w:r>
      <w:r w:rsidR="00FB5331">
        <w:t xml:space="preserve"> What is meant by “the Board member Statement”?  Well, the “Board Member Statement” reads:</w:t>
      </w:r>
    </w:p>
    <w:p w:rsidR="00FB5331" w:rsidRPr="00FB5331" w:rsidRDefault="00FB5331" w:rsidP="00692D79">
      <w:pPr>
        <w:ind w:left="1080" w:right="720"/>
        <w:rPr>
          <w:rFonts w:ascii="Times New Roman" w:hAnsi="Times New Roman" w:cs="Times New Roman"/>
          <w:i/>
        </w:rPr>
      </w:pPr>
      <w:r w:rsidRPr="00FB5331">
        <w:rPr>
          <w:rFonts w:ascii="Times New Roman" w:hAnsi="Times New Roman" w:cs="Times New Roman"/>
        </w:rPr>
        <w:t>The Board Member's authority and responsibility are defined in the following governing documents (collectively, the “Governing Documents”): Connecticut Revised Nonstock Corporation Act, ARRL Articles of Association, ARRL By-Laws, ARRL Rules &amp; Regulations, ARRL Standing Orders, and ARRL Director Workbook. In addition, Board Members are subject to considerations of best corporate practice.</w:t>
      </w:r>
      <w:r>
        <w:rPr>
          <w:rFonts w:ascii="Times New Roman" w:hAnsi="Times New Roman" w:cs="Times New Roman"/>
        </w:rPr>
        <w:t xml:space="preserve"> </w:t>
      </w:r>
      <w:r>
        <w:rPr>
          <w:rFonts w:ascii="Times New Roman" w:hAnsi="Times New Roman" w:cs="Times New Roman"/>
          <w:i/>
        </w:rPr>
        <w:t>[Footnote omitted.]</w:t>
      </w:r>
    </w:p>
    <w:p w:rsidR="0015628D" w:rsidRDefault="00FB5331" w:rsidP="00DF1149">
      <w:pPr>
        <w:ind w:firstLine="360"/>
      </w:pPr>
      <w:r>
        <w:t>First, it is nonsense to suggest that a ¾</w:t>
      </w:r>
      <w:r w:rsidR="00CF4E82">
        <w:rPr>
          <w:vertAlign w:val="superscript"/>
        </w:rPr>
        <w:t xml:space="preserve">-ths </w:t>
      </w:r>
      <w:r w:rsidR="00CF4E82">
        <w:t xml:space="preserve">vote of </w:t>
      </w:r>
      <w:r w:rsidR="005C769F">
        <w:t>ARRL</w:t>
      </w:r>
      <w:r w:rsidR="00CF4E82">
        <w:t xml:space="preserve"> Directors could amend the Connecticut Revised Nonstock Corporation Act.</w:t>
      </w:r>
    </w:p>
    <w:p w:rsidR="007A2431" w:rsidRDefault="00CF4E82" w:rsidP="00DF1149">
      <w:pPr>
        <w:ind w:firstLine="360"/>
      </w:pPr>
      <w:r>
        <w:t>Second, t</w:t>
      </w:r>
      <w:r w:rsidR="00FB5331">
        <w:t xml:space="preserve">he Rules and Regulations, the Standing Orders, and the Director Workbook, at least, </w:t>
      </w:r>
      <w:r>
        <w:t xml:space="preserve">and all incorporated into the Board Member Statement by reference, can all be amended by a </w:t>
      </w:r>
      <w:r w:rsidRPr="00D06C39">
        <w:rPr>
          <w:i/>
        </w:rPr>
        <w:t>simple majority vote, with no advance notice to either the Board or the members</w:t>
      </w:r>
      <w:r>
        <w:t>. This means that the Committee is misleading you if they say that the Board Member Statement requires a heavy vote. No supermajority is required to change a rule that could be used to oust an elected Director.</w:t>
      </w:r>
      <w:r w:rsidR="005C769F">
        <w:t xml:space="preserve"> </w:t>
      </w:r>
      <w:proofErr w:type="gramStart"/>
      <w:r w:rsidR="005C769F">
        <w:t>Worst of all?</w:t>
      </w:r>
      <w:proofErr w:type="gramEnd"/>
      <w:r w:rsidR="005C769F">
        <w:t xml:space="preserve"> The ARRL Director Workbook is written by staff, not the Board. </w:t>
      </w:r>
      <w:r w:rsidR="005C769F" w:rsidRPr="005C769F">
        <w:rPr>
          <w:i/>
        </w:rPr>
        <w:t>It can be changed with no vote at all!</w:t>
      </w:r>
      <w:r w:rsidR="005C769F">
        <w:t xml:space="preserve"> </w:t>
      </w:r>
    </w:p>
    <w:p w:rsidR="00392D88" w:rsidRPr="002E4EF2" w:rsidRDefault="00D06C39" w:rsidP="00DF1149">
      <w:pPr>
        <w:shd w:val="clear" w:color="auto" w:fill="FFFFFF"/>
        <w:ind w:firstLine="360"/>
        <w:rPr>
          <w:rFonts w:ascii="Roboto" w:hAnsi="Roboto"/>
          <w:i/>
          <w:color w:val="1F1F1F"/>
          <w:sz w:val="27"/>
          <w:szCs w:val="27"/>
        </w:rPr>
      </w:pPr>
      <w:r w:rsidRPr="00D06C39">
        <w:rPr>
          <w:b/>
        </w:rPr>
        <w:t>What is Evidence</w:t>
      </w:r>
      <w:r>
        <w:rPr>
          <w:b/>
        </w:rPr>
        <w:t xml:space="preserve"> is Not Clear. </w:t>
      </w:r>
      <w:r w:rsidRPr="00D06C39">
        <w:t>A</w:t>
      </w:r>
      <w:r>
        <w:t xml:space="preserve">n accused Board Member may present “evidence” on his or her </w:t>
      </w:r>
      <w:r w:rsidRPr="00FB7375">
        <w:rPr>
          <w:rFonts w:cstheme="minorHAnsi"/>
        </w:rPr>
        <w:t>behalf.</w:t>
      </w:r>
      <w:r w:rsidRPr="00FB7375">
        <w:rPr>
          <w:rStyle w:val="FootnoteReference"/>
          <w:rFonts w:cstheme="minorHAnsi"/>
        </w:rPr>
        <w:footnoteReference w:id="13"/>
      </w:r>
      <w:r w:rsidRPr="00FB7375">
        <w:rPr>
          <w:rFonts w:cstheme="minorHAnsi"/>
        </w:rPr>
        <w:t xml:space="preserve"> </w:t>
      </w:r>
      <w:r w:rsidR="00392D88" w:rsidRPr="00FB7375">
        <w:rPr>
          <w:rFonts w:cstheme="minorHAnsi"/>
        </w:rPr>
        <w:t>“</w:t>
      </w:r>
      <w:r w:rsidR="00392D88" w:rsidRPr="00FB7375">
        <w:rPr>
          <w:rStyle w:val="hgkelc"/>
          <w:rFonts w:cstheme="minorHAnsi"/>
          <w:color w:val="1F1F1F"/>
          <w:lang w:val="en"/>
        </w:rPr>
        <w:t>Evidence” is</w:t>
      </w:r>
      <w:r w:rsidR="002E4EF2">
        <w:rPr>
          <w:rStyle w:val="hgkelc"/>
          <w:rFonts w:cstheme="minorHAnsi"/>
          <w:color w:val="1F1F1F"/>
          <w:lang w:val="en"/>
        </w:rPr>
        <w:t xml:space="preserve"> “an item or information proffered to make the existence </w:t>
      </w:r>
      <w:r w:rsidR="002E4EF2" w:rsidRPr="002E4EF2">
        <w:rPr>
          <w:rStyle w:val="hgkelc"/>
          <w:rFonts w:cstheme="minorHAnsi"/>
          <w:i/>
          <w:color w:val="1F1F1F"/>
          <w:lang w:val="en"/>
        </w:rPr>
        <w:t>of a fact</w:t>
      </w:r>
      <w:r w:rsidR="002E4EF2">
        <w:rPr>
          <w:rStyle w:val="hgkelc"/>
          <w:rFonts w:cstheme="minorHAnsi"/>
          <w:color w:val="1F1F1F"/>
          <w:lang w:val="en"/>
        </w:rPr>
        <w:t xml:space="preserve"> more or less probable.</w:t>
      </w:r>
      <w:r w:rsidR="00392D88" w:rsidRPr="00FB7375">
        <w:rPr>
          <w:rStyle w:val="hgkelc"/>
          <w:rFonts w:cstheme="minorHAnsi"/>
          <w:color w:val="1F1F1F"/>
          <w:lang w:val="en"/>
        </w:rPr>
        <w:t xml:space="preserve"> Evidence can take the form of testimony, documents, photographs, videos, voice recordings, DNA testing, or other tangible objects.”</w:t>
      </w:r>
      <w:r w:rsidR="00392D88" w:rsidRPr="00FB7375">
        <w:rPr>
          <w:rStyle w:val="FootnoteReference"/>
          <w:rFonts w:cstheme="minorHAnsi"/>
          <w:color w:val="1F1F1F"/>
          <w:lang w:val="en"/>
        </w:rPr>
        <w:footnoteReference w:id="14"/>
      </w:r>
      <w:r w:rsidR="002E4EF2">
        <w:rPr>
          <w:rStyle w:val="hgkelc"/>
          <w:rFonts w:cstheme="minorHAnsi"/>
          <w:color w:val="1F1F1F"/>
          <w:lang w:val="en"/>
        </w:rPr>
        <w:t xml:space="preserve"> </w:t>
      </w:r>
      <w:r w:rsidR="002E4EF2">
        <w:rPr>
          <w:rStyle w:val="hgkelc"/>
          <w:rFonts w:cstheme="minorHAnsi"/>
          <w:i/>
          <w:color w:val="1F1F1F"/>
          <w:lang w:val="en"/>
        </w:rPr>
        <w:t>[Emphasis added.]</w:t>
      </w:r>
    </w:p>
    <w:p w:rsidR="00D06C39" w:rsidRPr="00D06C39" w:rsidRDefault="009079F3" w:rsidP="00DF1149">
      <w:pPr>
        <w:shd w:val="clear" w:color="auto" w:fill="FFFFFF"/>
        <w:ind w:firstLine="360"/>
      </w:pPr>
      <w:r>
        <w:t>Could</w:t>
      </w:r>
      <w:r w:rsidR="00D06C39">
        <w:t xml:space="preserve"> the Board Member argue about the meaning of rules in the “Governing Documents”? </w:t>
      </w:r>
      <w:r w:rsidR="00FB7375">
        <w:t xml:space="preserve">For example, under the “evidence only” standard, you would not be allowed to argue about the </w:t>
      </w:r>
      <w:proofErr w:type="gramStart"/>
      <w:r w:rsidR="00FB7375" w:rsidRPr="00FB7375">
        <w:rPr>
          <w:i/>
        </w:rPr>
        <w:t>meaning</w:t>
      </w:r>
      <w:r w:rsidR="00FB7375">
        <w:t xml:space="preserve">  of</w:t>
      </w:r>
      <w:proofErr w:type="gramEnd"/>
      <w:r w:rsidR="00FB7375">
        <w:t xml:space="preserve"> the requirement that a candidate is “from the Division.”</w:t>
      </w:r>
      <w:r w:rsidR="00D06C39">
        <w:t xml:space="preserve"> </w:t>
      </w:r>
      <w:r w:rsidR="002E4EF2">
        <w:t>As written, i</w:t>
      </w:r>
      <w:r w:rsidR="00D06C39">
        <w:t xml:space="preserve">t seems that you could argue the facts, </w:t>
      </w:r>
      <w:r w:rsidR="00D06C39" w:rsidRPr="002E4EF2">
        <w:rPr>
          <w:i/>
        </w:rPr>
        <w:t>but not the law</w:t>
      </w:r>
      <w:r w:rsidR="00D06C39">
        <w:t>.</w:t>
      </w:r>
      <w:r w:rsidR="00392D88">
        <w:t xml:space="preserve"> </w:t>
      </w:r>
      <w:r>
        <w:t>Y</w:t>
      </w:r>
      <w:r w:rsidR="00392D88">
        <w:t>ou should be able to argue about the meaning of the Governing Documents</w:t>
      </w:r>
      <w:r w:rsidR="00FB7375">
        <w:t>, or the equities, or precedent, and not be restricted to facts alone</w:t>
      </w:r>
      <w:r w:rsidR="00392D88">
        <w:t>.</w:t>
      </w:r>
    </w:p>
    <w:p w:rsidR="00392D88" w:rsidRDefault="00D06C39" w:rsidP="00DF1149">
      <w:pPr>
        <w:ind w:firstLine="360"/>
      </w:pPr>
      <w:proofErr w:type="gramStart"/>
      <w:r w:rsidRPr="00D06C39">
        <w:rPr>
          <w:b/>
        </w:rPr>
        <w:t xml:space="preserve">The </w:t>
      </w:r>
      <w:r w:rsidR="009079F3">
        <w:rPr>
          <w:b/>
        </w:rPr>
        <w:t>Wrong Standard</w:t>
      </w:r>
      <w:r w:rsidRPr="00D06C39">
        <w:rPr>
          <w:b/>
        </w:rPr>
        <w:t>.</w:t>
      </w:r>
      <w:proofErr w:type="gramEnd"/>
      <w:r>
        <w:rPr>
          <w:b/>
        </w:rPr>
        <w:t xml:space="preserve"> </w:t>
      </w:r>
      <w:r w:rsidR="00392D88" w:rsidRPr="00392D88">
        <w:t>The “Board Member Statement”</w:t>
      </w:r>
      <w:r w:rsidR="00392D88">
        <w:t xml:space="preserve"> says: “Findings of a violation by the independent Third Party shall be based on a preponderance of evidence.”  </w:t>
      </w:r>
      <w:r w:rsidR="009079F3">
        <w:t>T</w:t>
      </w:r>
      <w:r w:rsidR="00392D88">
        <w:t>h</w:t>
      </w:r>
      <w:r w:rsidR="009079F3">
        <w:t>at</w:t>
      </w:r>
      <w:r w:rsidR="00392D88">
        <w:t xml:space="preserve"> is the wrong standard. </w:t>
      </w:r>
    </w:p>
    <w:p w:rsidR="00392D88" w:rsidRDefault="009079F3" w:rsidP="00DF1149">
      <w:pPr>
        <w:ind w:firstLine="360"/>
      </w:pPr>
      <w:r>
        <w:t>T</w:t>
      </w:r>
      <w:r w:rsidR="00392D88">
        <w:t>here are three commonly used standards:</w:t>
      </w:r>
    </w:p>
    <w:p w:rsidR="00392D88" w:rsidRDefault="00392D88" w:rsidP="00392D88">
      <w:pPr>
        <w:pStyle w:val="ListParagraph"/>
        <w:numPr>
          <w:ilvl w:val="0"/>
          <w:numId w:val="2"/>
        </w:numPr>
      </w:pPr>
      <w:r>
        <w:t>The loosest – preponderance of the evidence,</w:t>
      </w:r>
    </w:p>
    <w:p w:rsidR="00392D88" w:rsidRDefault="00392D88" w:rsidP="00392D88">
      <w:pPr>
        <w:pStyle w:val="ListParagraph"/>
        <w:numPr>
          <w:ilvl w:val="0"/>
          <w:numId w:val="2"/>
        </w:numPr>
      </w:pPr>
      <w:r>
        <w:t xml:space="preserve">Medium strength – substantial, or, better said, “clear and convincing proof” </w:t>
      </w:r>
    </w:p>
    <w:p w:rsidR="00392D88" w:rsidRDefault="00392D88" w:rsidP="00392D88">
      <w:pPr>
        <w:pStyle w:val="ListParagraph"/>
        <w:numPr>
          <w:ilvl w:val="0"/>
          <w:numId w:val="2"/>
        </w:numPr>
      </w:pPr>
      <w:r>
        <w:t>The highest – beyond a reasonable doubt.</w:t>
      </w:r>
    </w:p>
    <w:p w:rsidR="00583FC1" w:rsidRDefault="00392D88" w:rsidP="00DF1149">
      <w:pPr>
        <w:ind w:firstLine="360"/>
      </w:pPr>
      <w:r>
        <w:t>The concern is that merely “</w:t>
      </w:r>
      <w:proofErr w:type="gramStart"/>
      <w:r>
        <w:t>shoveling</w:t>
      </w:r>
      <w:r w:rsidR="00095F6C">
        <w:t xml:space="preserve"> </w:t>
      </w:r>
      <w:r>
        <w:t xml:space="preserve"> &lt;</w:t>
      </w:r>
      <w:proofErr w:type="gramEnd"/>
      <w:r>
        <w:t xml:space="preserve">s-word, expletive deleted&gt;” could oust a Board Member, due to its volume, and not its truth. </w:t>
      </w:r>
      <w:r w:rsidR="00095F6C">
        <w:t>T</w:t>
      </w:r>
      <w:r>
        <w:t>he standard should be “clear and convincing” evidence</w:t>
      </w:r>
      <w:r w:rsidR="00583FC1">
        <w:t xml:space="preserve"> </w:t>
      </w:r>
      <w:r w:rsidR="002513AD">
        <w:t xml:space="preserve">– still a standard less </w:t>
      </w:r>
      <w:r w:rsidR="00583FC1">
        <w:t xml:space="preserve">than </w:t>
      </w:r>
      <w:r w:rsidR="00095F6C">
        <w:t>“</w:t>
      </w:r>
      <w:r w:rsidR="00583FC1">
        <w:t>beyond a reasonable doubt</w:t>
      </w:r>
      <w:r w:rsidR="002513AD">
        <w:t>.</w:t>
      </w:r>
      <w:r w:rsidR="00095F6C">
        <w:t>”</w:t>
      </w:r>
      <w:r w:rsidR="00583FC1">
        <w:t xml:space="preserve"> But what if the Director is right on “the law”</w:t>
      </w:r>
      <w:r w:rsidR="00095F6C">
        <w:t xml:space="preserve"> or rules</w:t>
      </w:r>
      <w:r w:rsidR="00583FC1">
        <w:t>?</w:t>
      </w:r>
    </w:p>
    <w:p w:rsidR="003A1444" w:rsidRDefault="00FB7375" w:rsidP="003A1444">
      <w:pPr>
        <w:rPr>
          <w:b/>
          <w:bCs/>
        </w:rPr>
      </w:pPr>
      <w:r>
        <w:rPr>
          <w:b/>
        </w:rPr>
        <w:t xml:space="preserve">The Ultimate </w:t>
      </w:r>
      <w:r w:rsidR="00583FC1">
        <w:rPr>
          <w:b/>
        </w:rPr>
        <w:t xml:space="preserve">Consequence of </w:t>
      </w:r>
      <w:r>
        <w:rPr>
          <w:b/>
        </w:rPr>
        <w:t xml:space="preserve">a </w:t>
      </w:r>
      <w:r w:rsidR="003A1444">
        <w:rPr>
          <w:b/>
        </w:rPr>
        <w:t>“</w:t>
      </w:r>
      <w:r w:rsidR="00583FC1">
        <w:rPr>
          <w:b/>
        </w:rPr>
        <w:t>Violation</w:t>
      </w:r>
      <w:r w:rsidR="003A1444">
        <w:rPr>
          <w:b/>
        </w:rPr>
        <w:t xml:space="preserve">” </w:t>
      </w:r>
      <w:r w:rsidR="003A1444" w:rsidRPr="007A6473">
        <w:rPr>
          <w:b/>
          <w:bCs/>
        </w:rPr>
        <w:t xml:space="preserve">Violates CT Law </w:t>
      </w:r>
      <w:r w:rsidR="003A1444" w:rsidRPr="007A6473">
        <w:rPr>
          <w:b/>
          <w:bCs/>
          <w:i/>
          <w:iCs/>
        </w:rPr>
        <w:t>re</w:t>
      </w:r>
      <w:r w:rsidR="003A1444">
        <w:rPr>
          <w:b/>
          <w:bCs/>
          <w:i/>
          <w:iCs/>
        </w:rPr>
        <w:t xml:space="preserve"> </w:t>
      </w:r>
      <w:r w:rsidR="003A1444" w:rsidRPr="007A6473">
        <w:rPr>
          <w:b/>
          <w:bCs/>
        </w:rPr>
        <w:t>Removal of a Director</w:t>
      </w:r>
    </w:p>
    <w:p w:rsidR="00583FC1" w:rsidRPr="003A1444" w:rsidRDefault="00FB7375" w:rsidP="003A1444">
      <w:pPr>
        <w:ind w:firstLine="360"/>
      </w:pPr>
      <w:r>
        <w:rPr>
          <w:b/>
        </w:rPr>
        <w:t xml:space="preserve"> </w:t>
      </w:r>
      <w:r w:rsidR="003A1444" w:rsidRPr="003A1444">
        <w:t>The relevant Connecticut law reads:</w:t>
      </w:r>
    </w:p>
    <w:p w:rsidR="003A7ECE" w:rsidRPr="00B20C86" w:rsidRDefault="003A7ECE" w:rsidP="00692D79">
      <w:pPr>
        <w:ind w:firstLine="720"/>
        <w:rPr>
          <w:rFonts w:ascii="Times New Roman" w:hAnsi="Times New Roman" w:cs="Times New Roman"/>
        </w:rPr>
      </w:pPr>
      <w:r w:rsidRPr="00B20C86">
        <w:rPr>
          <w:rFonts w:ascii="Times New Roman" w:hAnsi="Times New Roman" w:cs="Times New Roman"/>
          <w:b/>
          <w:bCs/>
        </w:rPr>
        <w:t xml:space="preserve">C.G.S. </w:t>
      </w:r>
      <w:r w:rsidR="003A1444" w:rsidRPr="00B20C86">
        <w:rPr>
          <w:rFonts w:ascii="Times New Roman" w:hAnsi="Times New Roman" w:cs="Times New Roman"/>
          <w:b/>
          <w:bCs/>
        </w:rPr>
        <w:t>§</w:t>
      </w:r>
      <w:r w:rsidRPr="00B20C86">
        <w:rPr>
          <w:rFonts w:ascii="Times New Roman" w:hAnsi="Times New Roman" w:cs="Times New Roman"/>
          <w:b/>
          <w:bCs/>
        </w:rPr>
        <w:t xml:space="preserve"> 33-1088. </w:t>
      </w:r>
      <w:proofErr w:type="gramStart"/>
      <w:r w:rsidRPr="00B20C86">
        <w:rPr>
          <w:rFonts w:ascii="Times New Roman" w:hAnsi="Times New Roman" w:cs="Times New Roman"/>
          <w:b/>
          <w:bCs/>
        </w:rPr>
        <w:t>Removal of directors by members or directors.</w:t>
      </w:r>
      <w:proofErr w:type="gramEnd"/>
    </w:p>
    <w:p w:rsidR="003A7ECE" w:rsidRPr="00B20C86" w:rsidRDefault="003A7ECE" w:rsidP="00692D79">
      <w:pPr>
        <w:ind w:left="720"/>
        <w:rPr>
          <w:rFonts w:ascii="Times New Roman" w:hAnsi="Times New Roman" w:cs="Times New Roman"/>
        </w:rPr>
      </w:pPr>
      <w:r w:rsidRPr="00B20C86">
        <w:rPr>
          <w:rFonts w:ascii="Times New Roman" w:hAnsi="Times New Roman" w:cs="Times New Roman"/>
        </w:rPr>
        <w:t>(a) The members entitled to vote for the election of directors or, if there are no such members, the directors, may remove one or more directors with or without cause unless the certificate of incorporation provides that directors may be removed only for cause.</w:t>
      </w:r>
    </w:p>
    <w:p w:rsidR="003A7ECE" w:rsidRPr="00B20C86" w:rsidRDefault="003A7ECE" w:rsidP="00692D79">
      <w:pPr>
        <w:ind w:left="720"/>
        <w:rPr>
          <w:rFonts w:ascii="Times New Roman" w:hAnsi="Times New Roman" w:cs="Times New Roman"/>
        </w:rPr>
      </w:pPr>
      <w:r w:rsidRPr="00B20C86">
        <w:rPr>
          <w:rFonts w:ascii="Times New Roman" w:hAnsi="Times New Roman" w:cs="Times New Roman"/>
        </w:rPr>
        <w:t xml:space="preserve">(b) If a director is elected by a class of members </w:t>
      </w:r>
      <w:r w:rsidRPr="00B20C86">
        <w:rPr>
          <w:rFonts w:ascii="Times New Roman" w:hAnsi="Times New Roman" w:cs="Times New Roman"/>
          <w:b/>
          <w:bCs/>
        </w:rPr>
        <w:t>only the members</w:t>
      </w:r>
      <w:r w:rsidRPr="00B20C86">
        <w:rPr>
          <w:rFonts w:ascii="Times New Roman" w:hAnsi="Times New Roman" w:cs="Times New Roman"/>
        </w:rPr>
        <w:t xml:space="preserve"> of that class </w:t>
      </w:r>
      <w:r w:rsidRPr="00B20C86">
        <w:rPr>
          <w:rFonts w:ascii="Times New Roman" w:hAnsi="Times New Roman" w:cs="Times New Roman"/>
          <w:b/>
          <w:bCs/>
        </w:rPr>
        <w:t>may</w:t>
      </w:r>
      <w:r w:rsidRPr="00B20C86">
        <w:rPr>
          <w:rFonts w:ascii="Times New Roman" w:hAnsi="Times New Roman" w:cs="Times New Roman"/>
        </w:rPr>
        <w:t xml:space="preserve"> participate in the vote to </w:t>
      </w:r>
      <w:r w:rsidRPr="00B20C86">
        <w:rPr>
          <w:rFonts w:ascii="Times New Roman" w:hAnsi="Times New Roman" w:cs="Times New Roman"/>
          <w:b/>
          <w:bCs/>
        </w:rPr>
        <w:t>remove</w:t>
      </w:r>
      <w:r w:rsidRPr="00B20C86">
        <w:rPr>
          <w:rFonts w:ascii="Times New Roman" w:hAnsi="Times New Roman" w:cs="Times New Roman"/>
        </w:rPr>
        <w:t xml:space="preserve"> him. </w:t>
      </w:r>
      <w:r w:rsidR="003A1444" w:rsidRPr="00B20C86">
        <w:rPr>
          <w:rFonts w:ascii="Times New Roman" w:hAnsi="Times New Roman" w:cs="Times New Roman"/>
        </w:rPr>
        <w:t xml:space="preserve"> </w:t>
      </w:r>
      <w:r w:rsidR="003A1444" w:rsidRPr="00B20C86">
        <w:rPr>
          <w:rFonts w:ascii="Times New Roman" w:hAnsi="Times New Roman" w:cs="Times New Roman"/>
          <w:i/>
        </w:rPr>
        <w:t>[Emphasis added.]</w:t>
      </w:r>
    </w:p>
    <w:p w:rsidR="003A7ECE" w:rsidRPr="007A6473" w:rsidRDefault="003A7ECE" w:rsidP="003A1444">
      <w:pPr>
        <w:ind w:firstLine="360"/>
      </w:pPr>
      <w:r w:rsidRPr="007A6473">
        <w:t xml:space="preserve">For ARRL, a Director is elected by division membership. </w:t>
      </w:r>
      <w:r w:rsidRPr="007A6473">
        <w:rPr>
          <w:i/>
          <w:iCs/>
        </w:rPr>
        <w:t>ONLY THE DIVISION MEMBERSHIP</w:t>
      </w:r>
      <w:r w:rsidRPr="007A6473">
        <w:t xml:space="preserve"> may participate in the vote to remove him. </w:t>
      </w:r>
    </w:p>
    <w:p w:rsidR="00C93931" w:rsidRDefault="00C93931" w:rsidP="003A7ECE">
      <w:pPr>
        <w:ind w:firstLine="360"/>
      </w:pPr>
      <w:r>
        <w:t xml:space="preserve"> </w:t>
      </w:r>
      <w:r w:rsidR="003A7ECE" w:rsidRPr="008D451E">
        <w:t xml:space="preserve">But, you may say, </w:t>
      </w:r>
      <w:r w:rsidR="0015628D">
        <w:t xml:space="preserve">or even the </w:t>
      </w:r>
      <w:proofErr w:type="spellStart"/>
      <w:proofErr w:type="gramStart"/>
      <w:r w:rsidR="0015628D">
        <w:t>imagin</w:t>
      </w:r>
      <w:r w:rsidR="00095F6C">
        <w:t>e</w:t>
      </w:r>
      <w:r w:rsidR="0015628D">
        <w:t>ry</w:t>
      </w:r>
      <w:proofErr w:type="spellEnd"/>
      <w:r w:rsidR="0015628D">
        <w:t>(</w:t>
      </w:r>
      <w:proofErr w:type="gramEnd"/>
      <w:r w:rsidR="0015628D">
        <w:t xml:space="preserve">?) Opinion of Counsel may say, </w:t>
      </w:r>
      <w:r w:rsidR="003A7ECE" w:rsidRPr="008D451E">
        <w:t xml:space="preserve">Proposed </w:t>
      </w:r>
      <w:r w:rsidR="007F43FE">
        <w:t>By-Law</w:t>
      </w:r>
      <w:r w:rsidR="003A7ECE" w:rsidRPr="008D451E">
        <w:t xml:space="preserve"> 46 does not propose </w:t>
      </w:r>
      <w:r w:rsidR="00922CBA">
        <w:t>“</w:t>
      </w:r>
      <w:r w:rsidR="003A7ECE" w:rsidRPr="008D451E">
        <w:t>removal,</w:t>
      </w:r>
      <w:r w:rsidR="00922CBA">
        <w:t>”</w:t>
      </w:r>
      <w:r w:rsidR="003A7ECE" w:rsidRPr="008D451E">
        <w:t xml:space="preserve"> only </w:t>
      </w:r>
      <w:r w:rsidR="00922CBA">
        <w:t>that the Board member will be “ineligible.”</w:t>
      </w:r>
    </w:p>
    <w:p w:rsidR="00C93931" w:rsidRPr="00C93931" w:rsidRDefault="00C93931" w:rsidP="00692D79">
      <w:pPr>
        <w:ind w:left="1080" w:right="720"/>
        <w:rPr>
          <w:rFonts w:ascii="Times New Roman" w:hAnsi="Times New Roman" w:cs="Times New Roman"/>
        </w:rPr>
      </w:pPr>
      <w:r w:rsidRPr="00C93931">
        <w:rPr>
          <w:rFonts w:ascii="Times New Roman" w:hAnsi="Times New Roman" w:cs="Times New Roman"/>
        </w:rPr>
        <w:t>(f) Any Board Member determined to be ineligible under either section (d) or (e) above shall immediately vacate their Board position. The vacant Board position will then be filled as provided in these By-Laws and the Articles of Association.</w:t>
      </w:r>
    </w:p>
    <w:p w:rsidR="003A7ECE" w:rsidRPr="008D451E" w:rsidRDefault="003A7ECE" w:rsidP="003A7ECE">
      <w:pPr>
        <w:ind w:firstLine="360"/>
      </w:pPr>
      <w:r w:rsidRPr="008D451E">
        <w:t xml:space="preserve">I </w:t>
      </w:r>
      <w:r>
        <w:t>reply</w:t>
      </w:r>
      <w:r w:rsidRPr="008D451E">
        <w:t xml:space="preserve">:  Pray tell, what is the difference? </w:t>
      </w:r>
      <w:r w:rsidR="00922CBA">
        <w:t xml:space="preserve">Answer: </w:t>
      </w:r>
      <w:r w:rsidRPr="008D451E">
        <w:t>There is NO DIFFERENCE, because if there are 10 votes (2/3) for “</w:t>
      </w:r>
      <w:r w:rsidR="00922CBA">
        <w:t>ineligible</w:t>
      </w:r>
      <w:r w:rsidR="00C93931">
        <w:t>,</w:t>
      </w:r>
      <w:r w:rsidRPr="008D451E">
        <w:t xml:space="preserve">” </w:t>
      </w:r>
      <w:r w:rsidR="00C93931">
        <w:t>and</w:t>
      </w:r>
      <w:r w:rsidRPr="008D451E">
        <w:t xml:space="preserve"> Proposed </w:t>
      </w:r>
      <w:r w:rsidR="007F43FE">
        <w:t>By-Law</w:t>
      </w:r>
      <w:r w:rsidRPr="008D451E">
        <w:t xml:space="preserve"> 46(f) </w:t>
      </w:r>
      <w:r w:rsidR="00C93931">
        <w:t>has taken effect, then look at (g):</w:t>
      </w:r>
      <w:r w:rsidRPr="008D451E">
        <w:t xml:space="preserve"> </w:t>
      </w:r>
    </w:p>
    <w:p w:rsidR="003A7ECE" w:rsidRPr="00C93931" w:rsidRDefault="00C93931" w:rsidP="00692D79">
      <w:pPr>
        <w:ind w:left="1080" w:right="720"/>
        <w:rPr>
          <w:rFonts w:ascii="Times New Roman" w:hAnsi="Times New Roman" w:cs="Times New Roman"/>
        </w:rPr>
      </w:pPr>
      <w:r w:rsidRPr="00C93931">
        <w:rPr>
          <w:rFonts w:ascii="Times New Roman" w:hAnsi="Times New Roman" w:cs="Times New Roman"/>
        </w:rPr>
        <w:t xml:space="preserve">(g) Any individual determined to be ineligible to serve because of a violation of an ethical, fiduciary, or legal duty shall be ineligible to run for or continue to serve as a Board Member </w:t>
      </w:r>
      <w:r w:rsidRPr="00C93931">
        <w:rPr>
          <w:rFonts w:ascii="Times New Roman" w:hAnsi="Times New Roman" w:cs="Times New Roman"/>
          <w:b/>
        </w:rPr>
        <w:t>in perpetuity</w:t>
      </w:r>
      <w:r w:rsidRPr="00C93931">
        <w:rPr>
          <w:rFonts w:ascii="Times New Roman" w:hAnsi="Times New Roman" w:cs="Times New Roman"/>
        </w:rPr>
        <w:t xml:space="preserve">. </w:t>
      </w:r>
      <w:r w:rsidR="00922CBA" w:rsidRPr="00C93931">
        <w:rPr>
          <w:rFonts w:ascii="Times New Roman" w:hAnsi="Times New Roman" w:cs="Times New Roman"/>
          <w:i/>
        </w:rPr>
        <w:t>[Emphasis added]</w:t>
      </w:r>
    </w:p>
    <w:p w:rsidR="00C93931" w:rsidRPr="00063C9A" w:rsidRDefault="00063C9A" w:rsidP="00C93931">
      <w:pPr>
        <w:rPr>
          <w:bCs/>
        </w:rPr>
      </w:pPr>
      <w:r>
        <w:rPr>
          <w:bCs/>
        </w:rPr>
        <w:t>W</w:t>
      </w:r>
      <w:r w:rsidR="00C93931" w:rsidRPr="00063C9A">
        <w:rPr>
          <w:bCs/>
        </w:rPr>
        <w:t xml:space="preserve">hen an individual is declared ineligible, </w:t>
      </w:r>
      <w:r>
        <w:rPr>
          <w:bCs/>
        </w:rPr>
        <w:t xml:space="preserve">Proposed </w:t>
      </w:r>
      <w:r w:rsidR="007F43FE">
        <w:rPr>
          <w:bCs/>
        </w:rPr>
        <w:t>By-Law</w:t>
      </w:r>
      <w:r>
        <w:rPr>
          <w:bCs/>
        </w:rPr>
        <w:t xml:space="preserve"> 46 </w:t>
      </w:r>
      <w:r w:rsidR="00C93931" w:rsidRPr="00063C9A">
        <w:rPr>
          <w:bCs/>
        </w:rPr>
        <w:t>rid</w:t>
      </w:r>
      <w:r w:rsidR="00095F6C">
        <w:rPr>
          <w:bCs/>
        </w:rPr>
        <w:t>s</w:t>
      </w:r>
      <w:r w:rsidR="00C93931" w:rsidRPr="00063C9A">
        <w:rPr>
          <w:bCs/>
        </w:rPr>
        <w:t xml:space="preserve"> </w:t>
      </w:r>
      <w:r w:rsidR="00095F6C">
        <w:rPr>
          <w:bCs/>
        </w:rPr>
        <w:t xml:space="preserve">us </w:t>
      </w:r>
      <w:r w:rsidR="00C93931" w:rsidRPr="00063C9A">
        <w:rPr>
          <w:bCs/>
        </w:rPr>
        <w:t xml:space="preserve">of that meddlesome person </w:t>
      </w:r>
      <w:r w:rsidRPr="005961B4">
        <w:rPr>
          <w:bCs/>
          <w:i/>
        </w:rPr>
        <w:t>forever</w:t>
      </w:r>
      <w:r w:rsidRPr="00063C9A">
        <w:rPr>
          <w:bCs/>
        </w:rPr>
        <w:t>!</w:t>
      </w:r>
      <w:r w:rsidR="00C93931" w:rsidRPr="00063C9A">
        <w:rPr>
          <w:bCs/>
        </w:rPr>
        <w:t xml:space="preserve"> </w:t>
      </w:r>
      <w:r w:rsidR="00095F6C">
        <w:rPr>
          <w:bCs/>
        </w:rPr>
        <w:t>Consider</w:t>
      </w:r>
      <w:r>
        <w:rPr>
          <w:bCs/>
        </w:rPr>
        <w:t xml:space="preserve"> </w:t>
      </w:r>
      <w:r w:rsidR="0015628D">
        <w:rPr>
          <w:bCs/>
        </w:rPr>
        <w:t xml:space="preserve">Rep. </w:t>
      </w:r>
      <w:r>
        <w:rPr>
          <w:bCs/>
        </w:rPr>
        <w:t>Adam Clayton Powell (D-NY), a thorn in the side of Congress for years</w:t>
      </w:r>
      <w:r w:rsidR="0015628D">
        <w:rPr>
          <w:bCs/>
        </w:rPr>
        <w:t>.</w:t>
      </w:r>
      <w:r>
        <w:rPr>
          <w:bCs/>
        </w:rPr>
        <w:t xml:space="preserve"> </w:t>
      </w:r>
      <w:r w:rsidR="0015628D">
        <w:rPr>
          <w:bCs/>
        </w:rPr>
        <w:t>H</w:t>
      </w:r>
      <w:r>
        <w:rPr>
          <w:bCs/>
        </w:rPr>
        <w:t>aving been excluded from Congress in 1967 for misuse of funds, by a vote of 307-116, was a</w:t>
      </w:r>
      <w:r w:rsidR="005961B4">
        <w:rPr>
          <w:bCs/>
        </w:rPr>
        <w:t>ble</w:t>
      </w:r>
      <w:r>
        <w:rPr>
          <w:bCs/>
        </w:rPr>
        <w:t xml:space="preserve"> to run again in the next election cycle</w:t>
      </w:r>
      <w:r w:rsidR="0015628D">
        <w:rPr>
          <w:bCs/>
        </w:rPr>
        <w:t>.</w:t>
      </w:r>
      <w:r w:rsidR="005961B4">
        <w:rPr>
          <w:bCs/>
        </w:rPr>
        <w:t xml:space="preserve"> </w:t>
      </w:r>
      <w:r w:rsidR="0015628D">
        <w:rPr>
          <w:bCs/>
        </w:rPr>
        <w:t xml:space="preserve">He </w:t>
      </w:r>
      <w:r w:rsidR="005961B4">
        <w:rPr>
          <w:bCs/>
        </w:rPr>
        <w:t xml:space="preserve">won, and was seated again. It is an American value that even sinners may seek redemption </w:t>
      </w:r>
      <w:r w:rsidR="005C769F">
        <w:rPr>
          <w:bCs/>
        </w:rPr>
        <w:t>from</w:t>
      </w:r>
      <w:r w:rsidR="005961B4">
        <w:rPr>
          <w:bCs/>
        </w:rPr>
        <w:t xml:space="preserve"> the voters. </w:t>
      </w:r>
      <w:r>
        <w:rPr>
          <w:bCs/>
        </w:rPr>
        <w:t xml:space="preserve">  </w:t>
      </w:r>
    </w:p>
    <w:p w:rsidR="003A1444" w:rsidRDefault="003A7ECE" w:rsidP="005961B4">
      <w:pPr>
        <w:ind w:firstLine="360"/>
        <w:rPr>
          <w:iCs/>
        </w:rPr>
      </w:pPr>
      <w:r w:rsidRPr="008D451E">
        <w:rPr>
          <w:b/>
          <w:bCs/>
        </w:rPr>
        <w:t xml:space="preserve">CONCLUSION: Proposed </w:t>
      </w:r>
      <w:r w:rsidR="007F43FE">
        <w:rPr>
          <w:b/>
          <w:bCs/>
        </w:rPr>
        <w:t>By-Law</w:t>
      </w:r>
      <w:r w:rsidRPr="008D451E">
        <w:rPr>
          <w:b/>
          <w:bCs/>
        </w:rPr>
        <w:t xml:space="preserve"> 46 is illegal under Connecticut law because</w:t>
      </w:r>
      <w:r w:rsidR="00922CBA">
        <w:rPr>
          <w:b/>
          <w:bCs/>
        </w:rPr>
        <w:t xml:space="preserve"> </w:t>
      </w:r>
      <w:r w:rsidRPr="008D451E">
        <w:rPr>
          <w:b/>
          <w:bCs/>
        </w:rPr>
        <w:t xml:space="preserve">it </w:t>
      </w:r>
      <w:r w:rsidR="00922CBA">
        <w:rPr>
          <w:b/>
          <w:bCs/>
        </w:rPr>
        <w:t>requires the Board Member to “immediate vacate”</w:t>
      </w:r>
      <w:r w:rsidRPr="008D451E">
        <w:rPr>
          <w:b/>
          <w:bCs/>
        </w:rPr>
        <w:t xml:space="preserve"> </w:t>
      </w:r>
      <w:r w:rsidR="00922CBA">
        <w:rPr>
          <w:b/>
          <w:bCs/>
        </w:rPr>
        <w:t xml:space="preserve">– </w:t>
      </w:r>
      <w:r w:rsidRPr="008D451E">
        <w:rPr>
          <w:b/>
          <w:bCs/>
        </w:rPr>
        <w:t xml:space="preserve">by 10 votes of Board, not the required votes of the members under C.G.S. § 33-1088(b). </w:t>
      </w:r>
      <w:r w:rsidR="00922CBA">
        <w:rPr>
          <w:b/>
          <w:bCs/>
        </w:rPr>
        <w:t>V</w:t>
      </w:r>
      <w:r w:rsidRPr="008D451E">
        <w:rPr>
          <w:b/>
          <w:bCs/>
        </w:rPr>
        <w:t>acating is the equivalent of “removal” because Proposed BL 46(f) declares the seat VACANT.</w:t>
      </w:r>
      <w:r>
        <w:rPr>
          <w:b/>
          <w:bCs/>
        </w:rPr>
        <w:t xml:space="preserve">  </w:t>
      </w:r>
      <w:r w:rsidRPr="008D451E">
        <w:t xml:space="preserve">(And that, dear friends, means </w:t>
      </w:r>
      <w:r w:rsidR="007F43FE">
        <w:t>By-Law</w:t>
      </w:r>
      <w:r w:rsidRPr="008D451E">
        <w:t xml:space="preserve"> 46 is </w:t>
      </w:r>
      <w:r w:rsidRPr="008D451E">
        <w:rPr>
          <w:i/>
          <w:iCs/>
        </w:rPr>
        <w:t>ultra vires</w:t>
      </w:r>
      <w:r w:rsidR="00922CBA" w:rsidRPr="00922CBA">
        <w:rPr>
          <w:iCs/>
        </w:rPr>
        <w:t xml:space="preserve"> or beyond the power</w:t>
      </w:r>
      <w:r w:rsidR="00922CBA">
        <w:rPr>
          <w:iCs/>
        </w:rPr>
        <w:t>s</w:t>
      </w:r>
      <w:r w:rsidR="00922CBA" w:rsidRPr="00922CBA">
        <w:rPr>
          <w:iCs/>
        </w:rPr>
        <w:t xml:space="preserve"> of the Board</w:t>
      </w:r>
      <w:r w:rsidR="00922CBA">
        <w:rPr>
          <w:iCs/>
        </w:rPr>
        <w:t xml:space="preserve"> and subject to a lawsuit filed by </w:t>
      </w:r>
      <w:r w:rsidR="00C93931">
        <w:rPr>
          <w:iCs/>
        </w:rPr>
        <w:t xml:space="preserve">a member </w:t>
      </w:r>
      <w:r w:rsidR="00C93931" w:rsidRPr="0015628D">
        <w:rPr>
          <w:i/>
          <w:iCs/>
        </w:rPr>
        <w:t>(any member)</w:t>
      </w:r>
      <w:r w:rsidR="00C93931">
        <w:rPr>
          <w:iCs/>
        </w:rPr>
        <w:t xml:space="preserve">, a director </w:t>
      </w:r>
      <w:r w:rsidR="00C93931" w:rsidRPr="0015628D">
        <w:rPr>
          <w:i/>
          <w:iCs/>
        </w:rPr>
        <w:t>(any director)</w:t>
      </w:r>
      <w:r w:rsidR="00C93931">
        <w:rPr>
          <w:iCs/>
        </w:rPr>
        <w:t xml:space="preserve">, or the Attorney </w:t>
      </w:r>
      <w:proofErr w:type="gramStart"/>
      <w:r w:rsidR="00C93931">
        <w:rPr>
          <w:iCs/>
        </w:rPr>
        <w:t>General</w:t>
      </w:r>
      <w:r w:rsidR="00922CBA">
        <w:rPr>
          <w:iCs/>
        </w:rPr>
        <w:t xml:space="preserve"> </w:t>
      </w:r>
      <w:r w:rsidRPr="008D451E">
        <w:rPr>
          <w:i/>
          <w:iCs/>
        </w:rPr>
        <w:t>.</w:t>
      </w:r>
      <w:r w:rsidR="00C93931">
        <w:rPr>
          <w:iCs/>
        </w:rPr>
        <w:t>)</w:t>
      </w:r>
      <w:proofErr w:type="gramEnd"/>
      <w:r w:rsidR="00C93931">
        <w:rPr>
          <w:iCs/>
        </w:rPr>
        <w:t xml:space="preserve"> C.G.S. </w:t>
      </w:r>
      <w:r w:rsidR="00C93931">
        <w:rPr>
          <w:rFonts w:ascii="Times New Roman" w:hAnsi="Times New Roman" w:cs="Times New Roman"/>
          <w:iCs/>
        </w:rPr>
        <w:t>§</w:t>
      </w:r>
      <w:r w:rsidR="00C93931">
        <w:rPr>
          <w:iCs/>
        </w:rPr>
        <w:t xml:space="preserve"> 33-1038.</w:t>
      </w:r>
    </w:p>
    <w:p w:rsidR="0015628D" w:rsidRDefault="003157A4" w:rsidP="005961B4">
      <w:pPr>
        <w:ind w:firstLine="360"/>
        <w:rPr>
          <w:iCs/>
        </w:rPr>
      </w:pPr>
      <w:r>
        <w:rPr>
          <w:iCs/>
        </w:rPr>
        <w:t xml:space="preserve">Note: I have been </w:t>
      </w:r>
      <w:r w:rsidRPr="005C769F">
        <w:rPr>
          <w:i/>
          <w:iCs/>
        </w:rPr>
        <w:t>repeatedly</w:t>
      </w:r>
      <w:r>
        <w:rPr>
          <w:iCs/>
        </w:rPr>
        <w:t xml:space="preserve"> told by members of the Board that there is a legal opinion of Connecticut counsel that, contrary to the plain wording of </w:t>
      </w:r>
      <w:r>
        <w:rPr>
          <w:rFonts w:ascii="Times New Roman" w:hAnsi="Times New Roman" w:cs="Times New Roman"/>
          <w:iCs/>
        </w:rPr>
        <w:t>§</w:t>
      </w:r>
      <w:r>
        <w:rPr>
          <w:iCs/>
        </w:rPr>
        <w:t xml:space="preserve"> 33-1088 requiring that only the members that elected a Director may remove him</w:t>
      </w:r>
      <w:r w:rsidR="005C769F">
        <w:rPr>
          <w:iCs/>
        </w:rPr>
        <w:t>, would allow the provision to “immediately  vacate</w:t>
      </w:r>
      <w:r>
        <w:rPr>
          <w:iCs/>
        </w:rPr>
        <w:t>.</w:t>
      </w:r>
      <w:r w:rsidR="005C769F">
        <w:rPr>
          <w:iCs/>
        </w:rPr>
        <w:t>”</w:t>
      </w:r>
      <w:r>
        <w:rPr>
          <w:iCs/>
        </w:rPr>
        <w:t xml:space="preserve"> I have also been told, variously, that for that opinion, Connecticut counsel was paid handsomely (but </w:t>
      </w:r>
      <w:r w:rsidR="0015628D">
        <w:rPr>
          <w:iCs/>
        </w:rPr>
        <w:t>the amount</w:t>
      </w:r>
      <w:r>
        <w:rPr>
          <w:iCs/>
        </w:rPr>
        <w:t xml:space="preserve"> is a secret), that the opinion of counsel is a secret, there is </w:t>
      </w:r>
      <w:r w:rsidR="00095F6C">
        <w:rPr>
          <w:iCs/>
        </w:rPr>
        <w:t xml:space="preserve">really </w:t>
      </w:r>
      <w:r>
        <w:rPr>
          <w:iCs/>
        </w:rPr>
        <w:t>no written opinion of counsel</w:t>
      </w:r>
      <w:r w:rsidR="0015628D">
        <w:rPr>
          <w:iCs/>
        </w:rPr>
        <w:t xml:space="preserve"> </w:t>
      </w:r>
      <w:r w:rsidR="00095F6C">
        <w:rPr>
          <w:iCs/>
        </w:rPr>
        <w:t>on point</w:t>
      </w:r>
      <w:r>
        <w:rPr>
          <w:iCs/>
        </w:rPr>
        <w:t xml:space="preserve">, </w:t>
      </w:r>
      <w:r w:rsidR="005C769F">
        <w:rPr>
          <w:iCs/>
        </w:rPr>
        <w:t xml:space="preserve">and </w:t>
      </w:r>
      <w:r>
        <w:rPr>
          <w:iCs/>
        </w:rPr>
        <w:t>that I am wrong</w:t>
      </w:r>
      <w:r w:rsidR="005C769F">
        <w:rPr>
          <w:iCs/>
        </w:rPr>
        <w:t>.</w:t>
      </w:r>
      <w:r w:rsidR="0015628D">
        <w:rPr>
          <w:iCs/>
        </w:rPr>
        <w:t xml:space="preserve"> </w:t>
      </w:r>
      <w:r w:rsidR="00095F6C">
        <w:rPr>
          <w:iCs/>
        </w:rPr>
        <w:t>T</w:t>
      </w:r>
      <w:r>
        <w:rPr>
          <w:iCs/>
        </w:rPr>
        <w:t xml:space="preserve">he President </w:t>
      </w:r>
      <w:r w:rsidR="00095F6C">
        <w:rPr>
          <w:iCs/>
        </w:rPr>
        <w:t xml:space="preserve">(K5UR) </w:t>
      </w:r>
      <w:r>
        <w:rPr>
          <w:iCs/>
        </w:rPr>
        <w:t>and the Board will not share.</w:t>
      </w:r>
    </w:p>
    <w:p w:rsidR="003157A4" w:rsidRDefault="00095F6C" w:rsidP="005961B4">
      <w:pPr>
        <w:ind w:firstLine="360"/>
        <w:rPr>
          <w:iCs/>
        </w:rPr>
      </w:pPr>
      <w:r>
        <w:rPr>
          <w:iCs/>
        </w:rPr>
        <w:t>I</w:t>
      </w:r>
      <w:r w:rsidR="003157A4">
        <w:rPr>
          <w:iCs/>
        </w:rPr>
        <w:t xml:space="preserve">f such an opinion of counsel explaining Connecticut law really exists, I can’t understand why it should be kept secret, as releasing it would potentially deflate my argument. </w:t>
      </w:r>
      <w:r w:rsidR="004A2021">
        <w:rPr>
          <w:iCs/>
        </w:rPr>
        <w:t xml:space="preserve">But, for the moment, </w:t>
      </w:r>
      <w:r>
        <w:rPr>
          <w:iCs/>
        </w:rPr>
        <w:t>it is</w:t>
      </w:r>
      <w:r w:rsidR="004A2021">
        <w:rPr>
          <w:iCs/>
        </w:rPr>
        <w:t xml:space="preserve"> a secret. </w:t>
      </w:r>
      <w:r w:rsidR="003157A4">
        <w:rPr>
          <w:iCs/>
        </w:rPr>
        <w:t>The reason it hasn’t been released, if it exists, was told to me approximately this way: “If it were to be released, you lawyers would only pick it apart anyway.” Now there’s a satisfying answer – NOT.</w:t>
      </w:r>
    </w:p>
    <w:p w:rsidR="004A2021" w:rsidRDefault="004A2021" w:rsidP="005961B4">
      <w:pPr>
        <w:ind w:firstLine="360"/>
        <w:rPr>
          <w:iCs/>
        </w:rPr>
      </w:pPr>
      <w:r>
        <w:rPr>
          <w:iCs/>
        </w:rPr>
        <w:t>HOWEVER, I suspect an argument contrary to my opinion could be composed. But, I do not believe this is a valid argument. The argument goes like this:</w:t>
      </w:r>
    </w:p>
    <w:p w:rsidR="004A2021" w:rsidRDefault="004A2021" w:rsidP="004A2021">
      <w:pPr>
        <w:pStyle w:val="ListParagraph"/>
        <w:numPr>
          <w:ilvl w:val="0"/>
          <w:numId w:val="2"/>
        </w:numPr>
        <w:rPr>
          <w:rFonts w:eastAsia="Times New Roman" w:cstheme="minorHAnsi"/>
        </w:rPr>
      </w:pPr>
      <w:r w:rsidRPr="004A2021">
        <w:rPr>
          <w:rStyle w:val="ydpe8f26177cf0"/>
          <w:rFonts w:eastAsia="Times New Roman" w:cstheme="minorHAnsi"/>
        </w:rPr>
        <w:t xml:space="preserve">ARRL </w:t>
      </w:r>
      <w:r>
        <w:rPr>
          <w:rStyle w:val="ydpe8f26177cf0"/>
          <w:rFonts w:eastAsia="Times New Roman" w:cstheme="minorHAnsi"/>
        </w:rPr>
        <w:t>A</w:t>
      </w:r>
      <w:r w:rsidRPr="004A2021">
        <w:rPr>
          <w:rStyle w:val="ydpe8f26177cf0"/>
          <w:rFonts w:eastAsia="Times New Roman" w:cstheme="minorHAnsi"/>
        </w:rPr>
        <w:t xml:space="preserve">rticle 12, implemented though </w:t>
      </w:r>
      <w:r w:rsidR="007F43FE">
        <w:rPr>
          <w:rStyle w:val="ydpe8f26177cf0"/>
          <w:rFonts w:eastAsia="Times New Roman" w:cstheme="minorHAnsi"/>
        </w:rPr>
        <w:t>By-Law</w:t>
      </w:r>
      <w:r w:rsidRPr="004A2021">
        <w:rPr>
          <w:rStyle w:val="ydpe8f26177cf0"/>
          <w:rFonts w:eastAsia="Times New Roman" w:cstheme="minorHAnsi"/>
        </w:rPr>
        <w:t xml:space="preserve"> 46, is a permissible deviation from the nominal </w:t>
      </w:r>
      <w:r w:rsidR="005C769F">
        <w:rPr>
          <w:rStyle w:val="ydpe8f26177cf0"/>
          <w:rFonts w:eastAsia="Times New Roman" w:cstheme="minorHAnsi"/>
        </w:rPr>
        <w:t>Connecticut Non-stock Corporations Act (</w:t>
      </w:r>
      <w:r w:rsidRPr="004A2021">
        <w:rPr>
          <w:rStyle w:val="ydpe8f26177cf0"/>
          <w:rFonts w:eastAsia="Times New Roman" w:cstheme="minorHAnsi"/>
        </w:rPr>
        <w:t>CNCA</w:t>
      </w:r>
      <w:r w:rsidR="005C769F">
        <w:rPr>
          <w:rStyle w:val="ydpe8f26177cf0"/>
          <w:rFonts w:eastAsia="Times New Roman" w:cstheme="minorHAnsi"/>
        </w:rPr>
        <w:t>)</w:t>
      </w:r>
      <w:r w:rsidRPr="004A2021">
        <w:rPr>
          <w:rStyle w:val="ydpe8f26177cf0"/>
          <w:rFonts w:eastAsia="Times New Roman" w:cstheme="minorHAnsi"/>
        </w:rPr>
        <w:t xml:space="preserve"> provision. A</w:t>
      </w:r>
      <w:r w:rsidRPr="004A2021">
        <w:rPr>
          <w:rFonts w:eastAsia="Times New Roman" w:cstheme="minorHAnsi"/>
        </w:rPr>
        <w:t xml:space="preserve">rticle 12 allows for a finding that a director cannot continue to serve “as determined in accordance with the </w:t>
      </w:r>
      <w:r w:rsidR="007F43FE">
        <w:rPr>
          <w:rFonts w:eastAsia="Times New Roman" w:cstheme="minorHAnsi"/>
        </w:rPr>
        <w:t>By-Law</w:t>
      </w:r>
      <w:r w:rsidRPr="004A2021">
        <w:rPr>
          <w:rFonts w:eastAsia="Times New Roman" w:cstheme="minorHAnsi"/>
        </w:rPr>
        <w:t xml:space="preserve">s”, </w:t>
      </w:r>
      <w:r w:rsidRPr="004A2021">
        <w:rPr>
          <w:rFonts w:eastAsia="Times New Roman" w:cstheme="minorHAnsi"/>
          <w:i/>
        </w:rPr>
        <w:t>i.e.</w:t>
      </w:r>
      <w:r w:rsidRPr="004A2021">
        <w:rPr>
          <w:rFonts w:eastAsia="Times New Roman" w:cstheme="minorHAnsi"/>
        </w:rPr>
        <w:t xml:space="preserve">, </w:t>
      </w:r>
      <w:proofErr w:type="gramStart"/>
      <w:r w:rsidR="007F43FE">
        <w:rPr>
          <w:rFonts w:eastAsia="Times New Roman" w:cstheme="minorHAnsi"/>
        </w:rPr>
        <w:t>By-</w:t>
      </w:r>
      <w:proofErr w:type="gramEnd"/>
      <w:r w:rsidR="007F43FE">
        <w:rPr>
          <w:rFonts w:eastAsia="Times New Roman" w:cstheme="minorHAnsi"/>
        </w:rPr>
        <w:t>Law</w:t>
      </w:r>
      <w:r w:rsidRPr="004A2021">
        <w:rPr>
          <w:rFonts w:eastAsia="Times New Roman" w:cstheme="minorHAnsi"/>
        </w:rPr>
        <w:t xml:space="preserve"> 46.</w:t>
      </w:r>
    </w:p>
    <w:p w:rsidR="004A2021" w:rsidRDefault="004A2021" w:rsidP="004A2021">
      <w:pPr>
        <w:pStyle w:val="ListParagraph"/>
        <w:numPr>
          <w:ilvl w:val="0"/>
          <w:numId w:val="2"/>
        </w:numPr>
        <w:rPr>
          <w:rFonts w:eastAsia="Times New Roman" w:cstheme="minorHAnsi"/>
        </w:rPr>
      </w:pPr>
      <w:r>
        <w:rPr>
          <w:rFonts w:eastAsia="Times New Roman" w:cstheme="minorHAnsi"/>
        </w:rPr>
        <w:t xml:space="preserve">Article 12 reads, in pertinent part: “No person shall be eligible to serve, or to continue to serve as a Director . . . unless they are at all </w:t>
      </w:r>
      <w:proofErr w:type="gramStart"/>
      <w:r>
        <w:rPr>
          <w:rFonts w:eastAsia="Times New Roman" w:cstheme="minorHAnsi"/>
        </w:rPr>
        <w:t>time</w:t>
      </w:r>
      <w:proofErr w:type="gramEnd"/>
      <w:r>
        <w:rPr>
          <w:rFonts w:eastAsia="Times New Roman" w:cstheme="minorHAnsi"/>
        </w:rPr>
        <w:t xml:space="preserve"> in full compliance with these Articles, the </w:t>
      </w:r>
      <w:r w:rsidR="007F43FE">
        <w:rPr>
          <w:rFonts w:eastAsia="Times New Roman" w:cstheme="minorHAnsi"/>
        </w:rPr>
        <w:t>By-Law</w:t>
      </w:r>
      <w:r>
        <w:rPr>
          <w:rFonts w:eastAsia="Times New Roman" w:cstheme="minorHAnsi"/>
        </w:rPr>
        <w:t xml:space="preserve">s and the Rules and Regulations of the League relating to ethics, elections and conflicts of interest, as determined in accordance with the </w:t>
      </w:r>
      <w:r w:rsidR="007F43FE">
        <w:rPr>
          <w:rFonts w:eastAsia="Times New Roman" w:cstheme="minorHAnsi"/>
        </w:rPr>
        <w:t>By-Law</w:t>
      </w:r>
      <w:r>
        <w:rPr>
          <w:rFonts w:eastAsia="Times New Roman" w:cstheme="minorHAnsi"/>
        </w:rPr>
        <w:t xml:space="preserve">s.” </w:t>
      </w:r>
      <w:r w:rsidR="0015628D">
        <w:rPr>
          <w:rFonts w:eastAsia="Times New Roman" w:cstheme="minorHAnsi"/>
        </w:rPr>
        <w:t>[Note: “No person . . . they”]</w:t>
      </w:r>
    </w:p>
    <w:p w:rsidR="0015628D" w:rsidRPr="0015628D" w:rsidRDefault="004A2021" w:rsidP="004A2021">
      <w:pPr>
        <w:pStyle w:val="ListParagraph"/>
        <w:numPr>
          <w:ilvl w:val="0"/>
          <w:numId w:val="2"/>
        </w:numPr>
        <w:rPr>
          <w:rFonts w:eastAsia="Times New Roman" w:cstheme="minorHAnsi"/>
        </w:rPr>
      </w:pPr>
      <w:r w:rsidRPr="004A2021">
        <w:rPr>
          <w:rStyle w:val="ydpe8f26177cf0"/>
          <w:rFonts w:eastAsia="Times New Roman" w:cstheme="minorHAnsi"/>
        </w:rPr>
        <w:t xml:space="preserve">A case perhaps on point is </w:t>
      </w:r>
      <w:r w:rsidRPr="004A2021">
        <w:rPr>
          <w:rStyle w:val="ydpe8f26177cf1"/>
          <w:rFonts w:eastAsia="Times New Roman" w:cstheme="minorHAnsi"/>
          <w:i/>
        </w:rPr>
        <w:t xml:space="preserve">Charter Oaks Health Center, Inc. v. </w:t>
      </w:r>
      <w:proofErr w:type="spellStart"/>
      <w:r w:rsidRPr="004A2021">
        <w:rPr>
          <w:rStyle w:val="ydpe8f26177cf1"/>
          <w:rFonts w:eastAsia="Times New Roman" w:cstheme="minorHAnsi"/>
          <w:i/>
        </w:rPr>
        <w:t>Bardelona</w:t>
      </w:r>
      <w:proofErr w:type="spellEnd"/>
      <w:r w:rsidRPr="004A2021">
        <w:rPr>
          <w:rStyle w:val="ydpe8f26177cf1"/>
          <w:rFonts w:eastAsia="Times New Roman" w:cstheme="minorHAnsi"/>
          <w:i/>
        </w:rPr>
        <w:t xml:space="preserve"> (sic)</w:t>
      </w:r>
      <w:r w:rsidRPr="004A2021">
        <w:rPr>
          <w:rStyle w:val="ydpe8f26177cf0"/>
          <w:rFonts w:eastAsia="Times New Roman" w:cstheme="minorHAnsi"/>
        </w:rPr>
        <w:t xml:space="preserve">, 2024 WL 286322, </w:t>
      </w:r>
      <w:r w:rsidRPr="004A2021">
        <w:rPr>
          <w:rFonts w:cstheme="minorHAnsi"/>
          <w:color w:val="272727"/>
        </w:rPr>
        <w:t>2024 Conn. Super. LEXIS 1097, holding</w:t>
      </w:r>
      <w:r w:rsidR="0015628D">
        <w:rPr>
          <w:rFonts w:cstheme="minorHAnsi"/>
          <w:color w:val="272727"/>
        </w:rPr>
        <w:t>:</w:t>
      </w:r>
      <w:r w:rsidRPr="004A2021">
        <w:rPr>
          <w:rFonts w:cstheme="minorHAnsi"/>
          <w:color w:val="272727"/>
        </w:rPr>
        <w:t xml:space="preserve"> </w:t>
      </w:r>
    </w:p>
    <w:p w:rsidR="004A2021" w:rsidRDefault="004A2021" w:rsidP="0015628D">
      <w:pPr>
        <w:pStyle w:val="ListParagraph"/>
        <w:ind w:left="1440"/>
        <w:rPr>
          <w:rStyle w:val="ydpe8f26177cf0"/>
          <w:rFonts w:eastAsia="Times New Roman" w:cstheme="minorHAnsi"/>
        </w:rPr>
      </w:pPr>
      <w:r w:rsidRPr="004A2021">
        <w:rPr>
          <w:rStyle w:val="ydpe8f26177cf0"/>
          <w:rFonts w:eastAsia="Times New Roman" w:cstheme="minorHAnsi"/>
        </w:rPr>
        <w:t xml:space="preserve">the court finds that sec. 33-1001 is unambiguous in that it allows a corporation to deviate from the Connecticut Nonstock Corporation Act statutory requirements … Charter Oaks' [1978] articles of incorporation thus make it clear that the </w:t>
      </w:r>
      <w:r w:rsidR="007F43FE">
        <w:rPr>
          <w:rStyle w:val="ydpe8f26177cf0"/>
          <w:rFonts w:eastAsia="Times New Roman" w:cstheme="minorHAnsi"/>
        </w:rPr>
        <w:t>By-Law</w:t>
      </w:r>
      <w:r w:rsidRPr="004A2021">
        <w:rPr>
          <w:rStyle w:val="ydpe8f26177cf0"/>
          <w:rFonts w:eastAsia="Times New Roman" w:cstheme="minorHAnsi"/>
        </w:rPr>
        <w:t xml:space="preserve">s govern all activities of Charter Oaks. Accordingly, the court finds that sec. 33-1085 is inapplicable in the present case because article 4, sec. 2 of the </w:t>
      </w:r>
      <w:r w:rsidR="007F43FE">
        <w:rPr>
          <w:rStyle w:val="ydpe8f26177cf0"/>
          <w:rFonts w:eastAsia="Times New Roman" w:cstheme="minorHAnsi"/>
        </w:rPr>
        <w:t>By-Law</w:t>
      </w:r>
      <w:r w:rsidRPr="004A2021">
        <w:rPr>
          <w:rStyle w:val="ydpe8f26177cf0"/>
          <w:rFonts w:eastAsia="Times New Roman" w:cstheme="minorHAnsi"/>
        </w:rPr>
        <w:t>s varies permissibly from sec. 33-1085(e) pursuant to 33-1001.</w:t>
      </w:r>
    </w:p>
    <w:p w:rsidR="004A2021" w:rsidRDefault="004A2021" w:rsidP="004A2021">
      <w:pPr>
        <w:pStyle w:val="ListParagraph"/>
        <w:numPr>
          <w:ilvl w:val="0"/>
          <w:numId w:val="2"/>
        </w:numPr>
        <w:rPr>
          <w:rStyle w:val="ydpe8f26177cf0"/>
          <w:rFonts w:eastAsia="Times New Roman" w:cstheme="minorHAnsi"/>
        </w:rPr>
      </w:pPr>
      <w:r>
        <w:rPr>
          <w:rStyle w:val="ydpe8f26177cf0"/>
          <w:rFonts w:eastAsia="Times New Roman" w:cstheme="minorHAnsi"/>
        </w:rPr>
        <w:t xml:space="preserve">Sec. 33-1001 reads, in pertinent part: </w:t>
      </w:r>
    </w:p>
    <w:p w:rsidR="004A2021" w:rsidRPr="004A2021" w:rsidRDefault="004A2021" w:rsidP="0015628D">
      <w:pPr>
        <w:pStyle w:val="ListParagraph"/>
        <w:ind w:left="1440" w:right="720"/>
        <w:rPr>
          <w:rFonts w:eastAsia="Times New Roman" w:cstheme="minorHAnsi"/>
        </w:rPr>
      </w:pPr>
      <w:proofErr w:type="gramStart"/>
      <w:r w:rsidRPr="004A2021">
        <w:rPr>
          <w:rFonts w:ascii="Times New Roman" w:eastAsia="Times New Roman" w:hAnsi="Times New Roman" w:cs="Times New Roman"/>
          <w:color w:val="000000"/>
        </w:rPr>
        <w:t>no</w:t>
      </w:r>
      <w:proofErr w:type="gramEnd"/>
      <w:r w:rsidRPr="004A2021">
        <w:rPr>
          <w:rFonts w:ascii="Times New Roman" w:eastAsia="Times New Roman" w:hAnsi="Times New Roman" w:cs="Times New Roman"/>
          <w:color w:val="000000"/>
        </w:rPr>
        <w:t xml:space="preserve"> . . . </w:t>
      </w:r>
      <w:r w:rsidR="007F43FE">
        <w:rPr>
          <w:rFonts w:ascii="Times New Roman" w:eastAsia="Times New Roman" w:hAnsi="Times New Roman" w:cs="Times New Roman"/>
          <w:color w:val="000000"/>
        </w:rPr>
        <w:t>By-Law</w:t>
      </w:r>
      <w:r w:rsidRPr="004A2021">
        <w:rPr>
          <w:rFonts w:ascii="Times New Roman" w:eastAsia="Times New Roman" w:hAnsi="Times New Roman" w:cs="Times New Roman"/>
          <w:color w:val="000000"/>
        </w:rPr>
        <w:t xml:space="preserve"> shall be held invalid on the ground that it is inconsistent with such section unless such section expressly prohibits variations therefrom, or prescribes minimum or maximum numerical requirements, or a substantial interest of the state or third parties is adversely affected thereby.</w:t>
      </w:r>
    </w:p>
    <w:p w:rsidR="004A2021" w:rsidRDefault="004A2021" w:rsidP="004A2021">
      <w:pPr>
        <w:pStyle w:val="ListParagraph"/>
        <w:numPr>
          <w:ilvl w:val="0"/>
          <w:numId w:val="2"/>
        </w:numPr>
        <w:rPr>
          <w:rFonts w:eastAsia="Times New Roman" w:cstheme="minorHAnsi"/>
        </w:rPr>
      </w:pPr>
      <w:r w:rsidRPr="004A2021">
        <w:rPr>
          <w:rFonts w:eastAsia="Times New Roman" w:cstheme="minorHAnsi"/>
        </w:rPr>
        <w:t xml:space="preserve">So, on the surface, maybe you could disqualify someone under proposed </w:t>
      </w:r>
      <w:r w:rsidR="007F43FE">
        <w:rPr>
          <w:rFonts w:eastAsia="Times New Roman" w:cstheme="minorHAnsi"/>
        </w:rPr>
        <w:t>By-Law</w:t>
      </w:r>
      <w:r w:rsidRPr="004A2021">
        <w:rPr>
          <w:rFonts w:eastAsia="Times New Roman" w:cstheme="minorHAnsi"/>
        </w:rPr>
        <w:t xml:space="preserve"> 46 by invoking </w:t>
      </w:r>
      <w:r w:rsidR="007F43FE">
        <w:rPr>
          <w:rFonts w:eastAsia="Times New Roman" w:cstheme="minorHAnsi"/>
        </w:rPr>
        <w:t>By-Law</w:t>
      </w:r>
      <w:r w:rsidRPr="004A2021">
        <w:rPr>
          <w:rFonts w:eastAsia="Times New Roman" w:cstheme="minorHAnsi"/>
        </w:rPr>
        <w:t xml:space="preserve"> 12.</w:t>
      </w:r>
      <w:r>
        <w:rPr>
          <w:rFonts w:eastAsia="Times New Roman" w:cstheme="minorHAnsi"/>
        </w:rPr>
        <w:t xml:space="preserve"> Or maybe not, because:</w:t>
      </w:r>
    </w:p>
    <w:p w:rsidR="004A2021" w:rsidRDefault="004A2021" w:rsidP="004A2021">
      <w:pPr>
        <w:pStyle w:val="ListParagraph"/>
        <w:numPr>
          <w:ilvl w:val="0"/>
          <w:numId w:val="5"/>
        </w:numPr>
        <w:rPr>
          <w:rFonts w:eastAsia="Times New Roman" w:cstheme="minorHAnsi"/>
        </w:rPr>
      </w:pPr>
      <w:r>
        <w:rPr>
          <w:rFonts w:eastAsia="Times New Roman" w:cstheme="minorHAnsi"/>
        </w:rPr>
        <w:t xml:space="preserve">The </w:t>
      </w:r>
      <w:r w:rsidRPr="004A2021">
        <w:rPr>
          <w:rFonts w:eastAsia="Times New Roman" w:cstheme="minorHAnsi"/>
          <w:i/>
        </w:rPr>
        <w:t>Charter Oaks</w:t>
      </w:r>
      <w:r>
        <w:rPr>
          <w:rFonts w:eastAsia="Times New Roman" w:cstheme="minorHAnsi"/>
          <w:i/>
        </w:rPr>
        <w:t xml:space="preserve"> </w:t>
      </w:r>
      <w:r w:rsidRPr="004A2021">
        <w:rPr>
          <w:rFonts w:eastAsia="Times New Roman" w:cstheme="minorHAnsi"/>
        </w:rPr>
        <w:t>case is a Superior Court decision, not precedent.</w:t>
      </w:r>
    </w:p>
    <w:p w:rsidR="004A2021" w:rsidRDefault="004A2021" w:rsidP="004A2021">
      <w:pPr>
        <w:pStyle w:val="ListParagraph"/>
        <w:numPr>
          <w:ilvl w:val="0"/>
          <w:numId w:val="5"/>
        </w:numPr>
        <w:rPr>
          <w:rFonts w:eastAsia="Times New Roman" w:cstheme="minorHAnsi"/>
        </w:rPr>
      </w:pPr>
      <w:r w:rsidRPr="004A2021">
        <w:rPr>
          <w:rFonts w:eastAsia="Times New Roman" w:cstheme="minorHAnsi"/>
          <w:i/>
        </w:rPr>
        <w:t>Charter Oaks</w:t>
      </w:r>
      <w:r>
        <w:rPr>
          <w:rFonts w:eastAsia="Times New Roman" w:cstheme="minorHAnsi"/>
        </w:rPr>
        <w:t xml:space="preserve"> </w:t>
      </w:r>
      <w:r w:rsidR="00095F6C">
        <w:rPr>
          <w:rFonts w:eastAsia="Times New Roman" w:cstheme="minorHAnsi"/>
        </w:rPr>
        <w:t>holds</w:t>
      </w:r>
      <w:r>
        <w:rPr>
          <w:rFonts w:eastAsia="Times New Roman" w:cstheme="minorHAnsi"/>
        </w:rPr>
        <w:t xml:space="preserve"> that the Plaintiffs did not have standing to sue, because they were no longer directors</w:t>
      </w:r>
      <w:r w:rsidR="00095F6C">
        <w:rPr>
          <w:rFonts w:eastAsia="Times New Roman" w:cstheme="minorHAnsi"/>
        </w:rPr>
        <w:t>. I</w:t>
      </w:r>
      <w:r>
        <w:rPr>
          <w:rFonts w:eastAsia="Times New Roman" w:cstheme="minorHAnsi"/>
        </w:rPr>
        <w:t xml:space="preserve">t </w:t>
      </w:r>
      <w:r w:rsidR="00095F6C">
        <w:rPr>
          <w:rFonts w:eastAsia="Times New Roman" w:cstheme="minorHAnsi"/>
        </w:rPr>
        <w:t xml:space="preserve">is </w:t>
      </w:r>
      <w:r>
        <w:rPr>
          <w:rFonts w:eastAsia="Times New Roman" w:cstheme="minorHAnsi"/>
        </w:rPr>
        <w:t>a “standing” case, not an “eligibility” case.</w:t>
      </w:r>
    </w:p>
    <w:p w:rsidR="004A2021" w:rsidRPr="004A2021" w:rsidRDefault="004A2021" w:rsidP="004A2021">
      <w:pPr>
        <w:pStyle w:val="ListParagraph"/>
        <w:numPr>
          <w:ilvl w:val="0"/>
          <w:numId w:val="5"/>
        </w:numPr>
        <w:rPr>
          <w:rFonts w:eastAsia="Times New Roman" w:cstheme="minorHAnsi"/>
        </w:rPr>
      </w:pPr>
      <w:r>
        <w:rPr>
          <w:rFonts w:eastAsia="Times New Roman" w:cstheme="minorHAnsi"/>
        </w:rPr>
        <w:t xml:space="preserve">In any event, sec, 33-1001 does not permit “deviation” if the </w:t>
      </w:r>
      <w:r w:rsidR="007F43FE">
        <w:rPr>
          <w:rFonts w:eastAsia="Times New Roman" w:cstheme="minorHAnsi"/>
        </w:rPr>
        <w:t>By-Law</w:t>
      </w:r>
      <w:r>
        <w:rPr>
          <w:rFonts w:eastAsia="Times New Roman" w:cstheme="minorHAnsi"/>
        </w:rPr>
        <w:t xml:space="preserve"> in question is a “minimum or maximum” numerical requirement. ARRL </w:t>
      </w:r>
      <w:r w:rsidR="007F43FE">
        <w:rPr>
          <w:rFonts w:eastAsia="Times New Roman" w:cstheme="minorHAnsi"/>
        </w:rPr>
        <w:t>By-Law</w:t>
      </w:r>
      <w:r>
        <w:rPr>
          <w:rFonts w:eastAsia="Times New Roman" w:cstheme="minorHAnsi"/>
        </w:rPr>
        <w:t xml:space="preserve">s permit only members of the division to vote out a Director, and proposed </w:t>
      </w:r>
      <w:r w:rsidR="007F43FE">
        <w:rPr>
          <w:rFonts w:eastAsia="Times New Roman" w:cstheme="minorHAnsi"/>
        </w:rPr>
        <w:t>By-Law</w:t>
      </w:r>
      <w:r>
        <w:rPr>
          <w:rFonts w:eastAsia="Times New Roman" w:cstheme="minorHAnsi"/>
        </w:rPr>
        <w:t xml:space="preserve"> 46 would add 15 people (the Board) to vote someone off, violating the maximum numerical requirement.  Put another way, sc. 33-1088(b) says “If a director is elected by a class of members only the members of that class may participate in the vote to remove him.” THAT is a MAXIMUM numerical requirement.</w:t>
      </w:r>
    </w:p>
    <w:p w:rsidR="002513AD" w:rsidRPr="002513AD" w:rsidRDefault="002513AD" w:rsidP="00C06E64">
      <w:pPr>
        <w:pStyle w:val="xydp96ef9228yiv6231379933ydpc84ecee7yiv9554363629msonormal"/>
        <w:jc w:val="center"/>
        <w:rPr>
          <w:b/>
        </w:rPr>
      </w:pPr>
      <w:r w:rsidRPr="002513AD">
        <w:rPr>
          <w:rFonts w:asciiTheme="minorHAnsi" w:hAnsiTheme="minorHAnsi" w:cstheme="minorHAnsi"/>
          <w:b/>
          <w:bCs/>
          <w:iCs/>
          <w:color w:val="26282A"/>
          <w:sz w:val="22"/>
          <w:szCs w:val="22"/>
        </w:rPr>
        <w:t xml:space="preserve">The </w:t>
      </w:r>
      <w:r>
        <w:rPr>
          <w:rFonts w:asciiTheme="minorHAnsi" w:hAnsiTheme="minorHAnsi" w:cstheme="minorHAnsi"/>
          <w:b/>
          <w:bCs/>
          <w:iCs/>
          <w:color w:val="26282A"/>
          <w:sz w:val="22"/>
          <w:szCs w:val="22"/>
        </w:rPr>
        <w:t xml:space="preserve">Conflict of Interest </w:t>
      </w:r>
      <w:r w:rsidRPr="002513AD">
        <w:rPr>
          <w:rFonts w:asciiTheme="minorHAnsi" w:hAnsiTheme="minorHAnsi" w:cstheme="minorHAnsi"/>
          <w:b/>
          <w:bCs/>
          <w:iCs/>
          <w:color w:val="26282A"/>
          <w:sz w:val="22"/>
          <w:szCs w:val="22"/>
        </w:rPr>
        <w:t>Rule is Way Too Harsh</w:t>
      </w:r>
      <w:r w:rsidR="007E0EE4">
        <w:rPr>
          <w:rFonts w:asciiTheme="minorHAnsi" w:hAnsiTheme="minorHAnsi" w:cstheme="minorHAnsi"/>
          <w:b/>
          <w:bCs/>
          <w:iCs/>
          <w:color w:val="26282A"/>
          <w:sz w:val="22"/>
          <w:szCs w:val="22"/>
        </w:rPr>
        <w:t xml:space="preserve">, Lacks Sensible Elements, and is </w:t>
      </w:r>
      <w:proofErr w:type="gramStart"/>
      <w:r w:rsidR="007E0EE4">
        <w:rPr>
          <w:rFonts w:asciiTheme="minorHAnsi" w:hAnsiTheme="minorHAnsi" w:cstheme="minorHAnsi"/>
          <w:b/>
          <w:bCs/>
          <w:iCs/>
          <w:color w:val="26282A"/>
          <w:sz w:val="22"/>
          <w:szCs w:val="22"/>
        </w:rPr>
        <w:t>Designed</w:t>
      </w:r>
      <w:proofErr w:type="gramEnd"/>
      <w:r w:rsidR="007E0EE4">
        <w:rPr>
          <w:rFonts w:asciiTheme="minorHAnsi" w:hAnsiTheme="minorHAnsi" w:cstheme="minorHAnsi"/>
          <w:b/>
          <w:bCs/>
          <w:iCs/>
          <w:color w:val="26282A"/>
          <w:sz w:val="22"/>
          <w:szCs w:val="22"/>
        </w:rPr>
        <w:t xml:space="preserve"> to be Weaponized</w:t>
      </w:r>
    </w:p>
    <w:p w:rsidR="002513AD" w:rsidRPr="00D917EC" w:rsidRDefault="007E0EE4" w:rsidP="00D917EC">
      <w:pPr>
        <w:pStyle w:val="xydp96ef9228yiv6231379933ydpc84ecee7yiv9554363629msonormal"/>
        <w:ind w:firstLine="360"/>
        <w:rPr>
          <w:rFonts w:asciiTheme="minorHAnsi" w:hAnsiTheme="minorHAnsi" w:cstheme="minorHAnsi"/>
          <w:sz w:val="22"/>
          <w:szCs w:val="22"/>
        </w:rPr>
      </w:pPr>
      <w:proofErr w:type="gramStart"/>
      <w:r>
        <w:rPr>
          <w:rFonts w:asciiTheme="minorHAnsi" w:hAnsiTheme="minorHAnsi" w:cstheme="minorHAnsi"/>
          <w:b/>
          <w:color w:val="26282A"/>
          <w:sz w:val="22"/>
          <w:szCs w:val="22"/>
        </w:rPr>
        <w:t xml:space="preserve">Certification </w:t>
      </w:r>
      <w:r w:rsidR="00D917EC" w:rsidRPr="00D917EC">
        <w:rPr>
          <w:rFonts w:asciiTheme="minorHAnsi" w:hAnsiTheme="minorHAnsi" w:cstheme="minorHAnsi"/>
          <w:b/>
          <w:color w:val="26282A"/>
          <w:sz w:val="22"/>
          <w:szCs w:val="22"/>
        </w:rPr>
        <w:t>Missing the Deadline.</w:t>
      </w:r>
      <w:proofErr w:type="gramEnd"/>
      <w:r w:rsidR="00D917EC" w:rsidRPr="00D917EC">
        <w:rPr>
          <w:rFonts w:asciiTheme="minorHAnsi" w:hAnsiTheme="minorHAnsi" w:cstheme="minorHAnsi"/>
          <w:b/>
          <w:color w:val="26282A"/>
          <w:sz w:val="22"/>
          <w:szCs w:val="22"/>
        </w:rPr>
        <w:t xml:space="preserve"> </w:t>
      </w:r>
      <w:r w:rsidR="002513AD" w:rsidRPr="00D917EC">
        <w:rPr>
          <w:rFonts w:asciiTheme="minorHAnsi" w:hAnsiTheme="minorHAnsi" w:cstheme="minorHAnsi"/>
          <w:color w:val="26282A"/>
          <w:sz w:val="22"/>
          <w:szCs w:val="22"/>
        </w:rPr>
        <w:t xml:space="preserve">Proposed </w:t>
      </w:r>
      <w:r w:rsidR="007F43FE">
        <w:rPr>
          <w:rFonts w:asciiTheme="minorHAnsi" w:hAnsiTheme="minorHAnsi" w:cstheme="minorHAnsi"/>
          <w:color w:val="26282A"/>
          <w:sz w:val="22"/>
          <w:szCs w:val="22"/>
        </w:rPr>
        <w:t>By-Law</w:t>
      </w:r>
      <w:r w:rsidR="002513AD" w:rsidRPr="00D917EC">
        <w:rPr>
          <w:rFonts w:asciiTheme="minorHAnsi" w:hAnsiTheme="minorHAnsi" w:cstheme="minorHAnsi"/>
          <w:color w:val="26282A"/>
          <w:sz w:val="22"/>
          <w:szCs w:val="22"/>
        </w:rPr>
        <w:t xml:space="preserve"> 46(d</w:t>
      </w:r>
      <w:proofErr w:type="gramStart"/>
      <w:r w:rsidR="002513AD" w:rsidRPr="00D917EC">
        <w:rPr>
          <w:rFonts w:asciiTheme="minorHAnsi" w:hAnsiTheme="minorHAnsi" w:cstheme="minorHAnsi"/>
          <w:color w:val="26282A"/>
          <w:sz w:val="22"/>
          <w:szCs w:val="22"/>
        </w:rPr>
        <w:t>)(</w:t>
      </w:r>
      <w:proofErr w:type="gramEnd"/>
      <w:r w:rsidR="002513AD" w:rsidRPr="00D917EC">
        <w:rPr>
          <w:rFonts w:asciiTheme="minorHAnsi" w:hAnsiTheme="minorHAnsi" w:cstheme="minorHAnsi"/>
          <w:color w:val="26282A"/>
          <w:sz w:val="22"/>
          <w:szCs w:val="22"/>
        </w:rPr>
        <w:t xml:space="preserve">1) mandates that if a Director misses the deadline to annually recertify – even by one second? – </w:t>
      </w:r>
      <w:proofErr w:type="gramStart"/>
      <w:r w:rsidR="002513AD" w:rsidRPr="00D917EC">
        <w:rPr>
          <w:rFonts w:asciiTheme="minorHAnsi" w:hAnsiTheme="minorHAnsi" w:cstheme="minorHAnsi"/>
          <w:color w:val="26282A"/>
          <w:sz w:val="22"/>
          <w:szCs w:val="22"/>
        </w:rPr>
        <w:t>that</w:t>
      </w:r>
      <w:proofErr w:type="gramEnd"/>
      <w:r w:rsidR="002513AD" w:rsidRPr="00D917EC">
        <w:rPr>
          <w:rFonts w:asciiTheme="minorHAnsi" w:hAnsiTheme="minorHAnsi" w:cstheme="minorHAnsi"/>
          <w:color w:val="26282A"/>
          <w:sz w:val="22"/>
          <w:szCs w:val="22"/>
        </w:rPr>
        <w:t xml:space="preserve"> Board Member Director is </w:t>
      </w:r>
      <w:r w:rsidR="00D917EC" w:rsidRPr="00C06E64">
        <w:rPr>
          <w:rFonts w:asciiTheme="minorHAnsi" w:hAnsiTheme="minorHAnsi" w:cstheme="minorHAnsi"/>
          <w:i/>
          <w:color w:val="26282A"/>
          <w:sz w:val="22"/>
          <w:szCs w:val="22"/>
        </w:rPr>
        <w:t>automatically</w:t>
      </w:r>
      <w:r w:rsidR="00D917EC" w:rsidRPr="00D917EC">
        <w:rPr>
          <w:rFonts w:asciiTheme="minorHAnsi" w:hAnsiTheme="minorHAnsi" w:cstheme="minorHAnsi"/>
          <w:color w:val="26282A"/>
          <w:sz w:val="22"/>
          <w:szCs w:val="22"/>
        </w:rPr>
        <w:t xml:space="preserve"> </w:t>
      </w:r>
      <w:r w:rsidR="002513AD" w:rsidRPr="00D917EC">
        <w:rPr>
          <w:rFonts w:asciiTheme="minorHAnsi" w:hAnsiTheme="minorHAnsi" w:cstheme="minorHAnsi"/>
          <w:color w:val="26282A"/>
          <w:sz w:val="22"/>
          <w:szCs w:val="22"/>
        </w:rPr>
        <w:t>ineligible to serve</w:t>
      </w:r>
      <w:r w:rsidR="00D917EC" w:rsidRPr="00D917EC">
        <w:rPr>
          <w:rFonts w:asciiTheme="minorHAnsi" w:hAnsiTheme="minorHAnsi" w:cstheme="minorHAnsi"/>
          <w:color w:val="26282A"/>
          <w:sz w:val="22"/>
          <w:szCs w:val="22"/>
        </w:rPr>
        <w:t>. No action of the Board is required.</w:t>
      </w:r>
    </w:p>
    <w:p w:rsidR="002513AD" w:rsidRPr="00D917EC" w:rsidRDefault="002513AD" w:rsidP="00D917EC">
      <w:pPr>
        <w:pStyle w:val="xydp96ef9228yiv6231379933ydpc84ecee7yiv9554363629msonormal"/>
        <w:ind w:firstLine="360"/>
        <w:rPr>
          <w:rFonts w:asciiTheme="minorHAnsi" w:hAnsiTheme="minorHAnsi" w:cstheme="minorHAnsi"/>
          <w:sz w:val="22"/>
          <w:szCs w:val="22"/>
        </w:rPr>
      </w:pPr>
      <w:r w:rsidRPr="00D917EC">
        <w:rPr>
          <w:rFonts w:asciiTheme="minorHAnsi" w:hAnsiTheme="minorHAnsi" w:cstheme="minorHAnsi"/>
          <w:color w:val="26282A"/>
          <w:sz w:val="22"/>
          <w:szCs w:val="22"/>
        </w:rPr>
        <w:t xml:space="preserve">There is no discretion to waive or otherwise cure a </w:t>
      </w:r>
      <w:r w:rsidRPr="00D917EC">
        <w:rPr>
          <w:rFonts w:asciiTheme="minorHAnsi" w:hAnsiTheme="minorHAnsi" w:cstheme="minorHAnsi"/>
          <w:i/>
          <w:color w:val="26282A"/>
          <w:sz w:val="22"/>
          <w:szCs w:val="22"/>
        </w:rPr>
        <w:t xml:space="preserve">de </w:t>
      </w:r>
      <w:proofErr w:type="spellStart"/>
      <w:r w:rsidRPr="00D917EC">
        <w:rPr>
          <w:rFonts w:asciiTheme="minorHAnsi" w:hAnsiTheme="minorHAnsi" w:cstheme="minorHAnsi"/>
          <w:i/>
          <w:color w:val="26282A"/>
          <w:sz w:val="22"/>
          <w:szCs w:val="22"/>
        </w:rPr>
        <w:t>minimis</w:t>
      </w:r>
      <w:proofErr w:type="spellEnd"/>
      <w:r w:rsidRPr="00D917EC">
        <w:rPr>
          <w:rFonts w:asciiTheme="minorHAnsi" w:hAnsiTheme="minorHAnsi" w:cstheme="minorHAnsi"/>
          <w:color w:val="26282A"/>
          <w:sz w:val="22"/>
          <w:szCs w:val="22"/>
        </w:rPr>
        <w:t xml:space="preserve"> violation. </w:t>
      </w:r>
      <w:r w:rsidR="00D917EC" w:rsidRPr="00D917EC">
        <w:rPr>
          <w:rFonts w:asciiTheme="minorHAnsi" w:hAnsiTheme="minorHAnsi" w:cstheme="minorHAnsi"/>
          <w:color w:val="26282A"/>
          <w:sz w:val="22"/>
          <w:szCs w:val="22"/>
        </w:rPr>
        <w:t>T</w:t>
      </w:r>
      <w:r w:rsidRPr="00D917EC">
        <w:rPr>
          <w:rFonts w:asciiTheme="minorHAnsi" w:hAnsiTheme="minorHAnsi" w:cstheme="minorHAnsi"/>
          <w:color w:val="26282A"/>
          <w:sz w:val="22"/>
          <w:szCs w:val="22"/>
        </w:rPr>
        <w:t xml:space="preserve">he dilatory </w:t>
      </w:r>
      <w:r w:rsidR="00D917EC" w:rsidRPr="00D917EC">
        <w:rPr>
          <w:rFonts w:asciiTheme="minorHAnsi" w:hAnsiTheme="minorHAnsi" w:cstheme="minorHAnsi"/>
          <w:color w:val="26282A"/>
          <w:sz w:val="22"/>
          <w:szCs w:val="22"/>
        </w:rPr>
        <w:t>Board Member –even the President – must</w:t>
      </w:r>
      <w:r w:rsidRPr="00D917EC">
        <w:rPr>
          <w:rFonts w:asciiTheme="minorHAnsi" w:hAnsiTheme="minorHAnsi" w:cstheme="minorHAnsi"/>
          <w:color w:val="26282A"/>
          <w:sz w:val="22"/>
          <w:szCs w:val="22"/>
        </w:rPr>
        <w:t xml:space="preserve"> vacate the position.</w:t>
      </w:r>
      <w:r w:rsidR="00D917EC" w:rsidRPr="00D917EC">
        <w:rPr>
          <w:rFonts w:asciiTheme="minorHAnsi" w:hAnsiTheme="minorHAnsi" w:cstheme="minorHAnsi"/>
          <w:color w:val="26282A"/>
          <w:sz w:val="22"/>
          <w:szCs w:val="22"/>
        </w:rPr>
        <w:t xml:space="preserve"> Query: Would he or she also be banned in perpetuity?</w:t>
      </w:r>
    </w:p>
    <w:p w:rsidR="002513AD" w:rsidRPr="00D917EC" w:rsidRDefault="002513AD" w:rsidP="00D917EC">
      <w:pPr>
        <w:pStyle w:val="xydp96ef9228yiv6231379933ydpc84ecee7yiv9554363629msonormal"/>
        <w:ind w:firstLine="360"/>
        <w:rPr>
          <w:rFonts w:asciiTheme="minorHAnsi" w:hAnsiTheme="minorHAnsi" w:cstheme="minorHAnsi"/>
          <w:color w:val="26282A"/>
          <w:sz w:val="22"/>
          <w:szCs w:val="22"/>
        </w:rPr>
      </w:pPr>
      <w:r w:rsidRPr="00D917EC">
        <w:rPr>
          <w:rFonts w:asciiTheme="minorHAnsi" w:hAnsiTheme="minorHAnsi" w:cstheme="minorHAnsi"/>
          <w:color w:val="26282A"/>
          <w:sz w:val="22"/>
          <w:szCs w:val="22"/>
        </w:rPr>
        <w:t xml:space="preserve">How does such a draconian sanction for a </w:t>
      </w:r>
      <w:r w:rsidRPr="00D917EC">
        <w:rPr>
          <w:rFonts w:asciiTheme="minorHAnsi" w:hAnsiTheme="minorHAnsi" w:cstheme="minorHAnsi"/>
          <w:i/>
          <w:color w:val="26282A"/>
          <w:sz w:val="22"/>
          <w:szCs w:val="22"/>
        </w:rPr>
        <w:t xml:space="preserve">de </w:t>
      </w:r>
      <w:proofErr w:type="spellStart"/>
      <w:r w:rsidRPr="00D917EC">
        <w:rPr>
          <w:rFonts w:asciiTheme="minorHAnsi" w:hAnsiTheme="minorHAnsi" w:cstheme="minorHAnsi"/>
          <w:i/>
          <w:color w:val="26282A"/>
          <w:sz w:val="22"/>
          <w:szCs w:val="22"/>
        </w:rPr>
        <w:t>minimis</w:t>
      </w:r>
      <w:proofErr w:type="spellEnd"/>
      <w:r w:rsidRPr="00D917EC">
        <w:rPr>
          <w:rFonts w:asciiTheme="minorHAnsi" w:hAnsiTheme="minorHAnsi" w:cstheme="minorHAnsi"/>
          <w:color w:val="26282A"/>
          <w:sz w:val="22"/>
          <w:szCs w:val="22"/>
        </w:rPr>
        <w:t xml:space="preserve"> procedural violation </w:t>
      </w:r>
      <w:r w:rsidR="00D917EC" w:rsidRPr="00D917EC">
        <w:rPr>
          <w:rFonts w:asciiTheme="minorHAnsi" w:hAnsiTheme="minorHAnsi" w:cstheme="minorHAnsi"/>
          <w:color w:val="26282A"/>
          <w:sz w:val="22"/>
          <w:szCs w:val="22"/>
        </w:rPr>
        <w:t xml:space="preserve">comport with </w:t>
      </w:r>
      <w:r w:rsidR="00C06E64">
        <w:rPr>
          <w:rFonts w:asciiTheme="minorHAnsi" w:hAnsiTheme="minorHAnsi" w:cstheme="minorHAnsi"/>
          <w:color w:val="26282A"/>
          <w:sz w:val="22"/>
          <w:szCs w:val="22"/>
        </w:rPr>
        <w:t xml:space="preserve">any obligation to </w:t>
      </w:r>
      <w:r w:rsidR="00D917EC" w:rsidRPr="00D917EC">
        <w:rPr>
          <w:rFonts w:asciiTheme="minorHAnsi" w:hAnsiTheme="minorHAnsi" w:cstheme="minorHAnsi"/>
          <w:color w:val="26282A"/>
          <w:sz w:val="22"/>
          <w:szCs w:val="22"/>
        </w:rPr>
        <w:t>see</w:t>
      </w:r>
      <w:r w:rsidR="00C06E64">
        <w:rPr>
          <w:rFonts w:asciiTheme="minorHAnsi" w:hAnsiTheme="minorHAnsi" w:cstheme="minorHAnsi"/>
          <w:color w:val="26282A"/>
          <w:sz w:val="22"/>
          <w:szCs w:val="22"/>
        </w:rPr>
        <w:t xml:space="preserve"> </w:t>
      </w:r>
      <w:r w:rsidR="00D917EC" w:rsidRPr="00D917EC">
        <w:rPr>
          <w:rFonts w:asciiTheme="minorHAnsi" w:hAnsiTheme="minorHAnsi" w:cstheme="minorHAnsi"/>
          <w:color w:val="26282A"/>
          <w:sz w:val="22"/>
          <w:szCs w:val="22"/>
        </w:rPr>
        <w:t>that elected representatives of the members are seated?</w:t>
      </w:r>
    </w:p>
    <w:p w:rsidR="00D917EC" w:rsidRPr="00D917EC" w:rsidRDefault="007E0EE4" w:rsidP="00D917EC">
      <w:pPr>
        <w:pStyle w:val="xydp96ef9228yiv6231379933ydpc84ecee7yiv9554363629msonormal"/>
        <w:ind w:firstLine="360"/>
        <w:rPr>
          <w:rFonts w:asciiTheme="minorHAnsi" w:hAnsiTheme="minorHAnsi" w:cstheme="minorHAnsi"/>
          <w:color w:val="26282A"/>
          <w:sz w:val="22"/>
          <w:szCs w:val="22"/>
        </w:rPr>
      </w:pPr>
      <w:r>
        <w:rPr>
          <w:rFonts w:asciiTheme="minorHAnsi" w:hAnsiTheme="minorHAnsi" w:cstheme="minorHAnsi"/>
          <w:b/>
          <w:color w:val="26282A"/>
          <w:sz w:val="22"/>
          <w:szCs w:val="22"/>
        </w:rPr>
        <w:t>Lacks Sensible Elements Found in the Connecticut Statute</w:t>
      </w:r>
      <w:r w:rsidR="00D917EC" w:rsidRPr="00D917EC">
        <w:rPr>
          <w:rFonts w:asciiTheme="minorHAnsi" w:hAnsiTheme="minorHAnsi" w:cstheme="minorHAnsi"/>
          <w:b/>
          <w:color w:val="26282A"/>
          <w:sz w:val="22"/>
          <w:szCs w:val="22"/>
        </w:rPr>
        <w:t xml:space="preserve">. </w:t>
      </w:r>
      <w:r w:rsidR="00D917EC" w:rsidRPr="00D917EC">
        <w:rPr>
          <w:rFonts w:asciiTheme="minorHAnsi" w:hAnsiTheme="minorHAnsi" w:cstheme="minorHAnsi"/>
          <w:color w:val="26282A"/>
          <w:sz w:val="22"/>
          <w:szCs w:val="22"/>
        </w:rPr>
        <w:t>Compare the Connecticut statute</w:t>
      </w:r>
      <w:r w:rsidR="00D231DD">
        <w:rPr>
          <w:rFonts w:asciiTheme="minorHAnsi" w:hAnsiTheme="minorHAnsi" w:cstheme="minorHAnsi"/>
          <w:color w:val="26282A"/>
          <w:sz w:val="22"/>
          <w:szCs w:val="22"/>
        </w:rPr>
        <w:t xml:space="preserve"> with the ARRL Rule</w:t>
      </w:r>
      <w:r w:rsidR="00D917EC" w:rsidRPr="00D917EC">
        <w:rPr>
          <w:rFonts w:asciiTheme="minorHAnsi" w:hAnsiTheme="minorHAnsi" w:cstheme="minorHAnsi"/>
          <w:color w:val="26282A"/>
          <w:sz w:val="22"/>
          <w:szCs w:val="22"/>
        </w:rPr>
        <w:t>.</w:t>
      </w:r>
    </w:p>
    <w:p w:rsidR="00785941" w:rsidRDefault="00D917EC" w:rsidP="00D917EC">
      <w:pPr>
        <w:pStyle w:val="xydp96ef9228yiv6231379933ydpc84ecee7yiv9554363629msonormal"/>
        <w:ind w:firstLine="360"/>
        <w:rPr>
          <w:rFonts w:asciiTheme="minorHAnsi" w:hAnsiTheme="minorHAnsi" w:cstheme="minorHAnsi"/>
          <w:color w:val="26282A"/>
          <w:sz w:val="22"/>
          <w:szCs w:val="22"/>
        </w:rPr>
      </w:pPr>
      <w:r w:rsidRPr="00D917EC">
        <w:rPr>
          <w:rFonts w:asciiTheme="minorHAnsi" w:hAnsiTheme="minorHAnsi" w:cstheme="minorHAnsi"/>
          <w:color w:val="26282A"/>
          <w:sz w:val="22"/>
          <w:szCs w:val="22"/>
        </w:rPr>
        <w:t>The Connecti</w:t>
      </w:r>
      <w:r w:rsidR="00D231DD">
        <w:rPr>
          <w:rFonts w:asciiTheme="minorHAnsi" w:hAnsiTheme="minorHAnsi" w:cstheme="minorHAnsi"/>
          <w:color w:val="26282A"/>
          <w:sz w:val="22"/>
          <w:szCs w:val="22"/>
        </w:rPr>
        <w:t xml:space="preserve">cut Conflict of Interest rule is found at C.G.S. </w:t>
      </w:r>
      <w:r w:rsidR="00D231DD">
        <w:rPr>
          <w:color w:val="26282A"/>
          <w:sz w:val="22"/>
          <w:szCs w:val="22"/>
        </w:rPr>
        <w:t>§§</w:t>
      </w:r>
      <w:r w:rsidR="00D231DD">
        <w:rPr>
          <w:rFonts w:asciiTheme="minorHAnsi" w:hAnsiTheme="minorHAnsi" w:cstheme="minorHAnsi"/>
          <w:color w:val="26282A"/>
          <w:sz w:val="22"/>
          <w:szCs w:val="22"/>
        </w:rPr>
        <w:t xml:space="preserve"> 33-1127 (1-7),</w:t>
      </w:r>
      <w:r w:rsidRPr="00D917EC">
        <w:rPr>
          <w:rFonts w:asciiTheme="minorHAnsi" w:hAnsiTheme="minorHAnsi" w:cstheme="minorHAnsi"/>
          <w:color w:val="26282A"/>
          <w:sz w:val="22"/>
          <w:szCs w:val="22"/>
        </w:rPr>
        <w:t xml:space="preserve"> </w:t>
      </w:r>
      <w:r w:rsidR="00D231DD">
        <w:rPr>
          <w:rFonts w:asciiTheme="minorHAnsi" w:hAnsiTheme="minorHAnsi" w:cstheme="minorHAnsi"/>
          <w:color w:val="26282A"/>
          <w:sz w:val="22"/>
          <w:szCs w:val="22"/>
        </w:rPr>
        <w:t xml:space="preserve">33-1128 (a) and (b), 33-1129 (a-d), 33-1130 (a-f), 33-1131 (a) and (b). It is </w:t>
      </w:r>
      <w:r w:rsidR="00785941">
        <w:rPr>
          <w:rFonts w:asciiTheme="minorHAnsi" w:hAnsiTheme="minorHAnsi" w:cstheme="minorHAnsi"/>
          <w:color w:val="26282A"/>
          <w:sz w:val="22"/>
          <w:szCs w:val="22"/>
        </w:rPr>
        <w:t xml:space="preserve">extensive and informative. It has common sense exceptions. </w:t>
      </w:r>
    </w:p>
    <w:p w:rsidR="00785941" w:rsidRDefault="00785941" w:rsidP="00D917EC">
      <w:pPr>
        <w:pStyle w:val="xydp96ef9228yiv6231379933ydpc84ecee7yiv9554363629msonormal"/>
        <w:ind w:firstLine="360"/>
        <w:rPr>
          <w:rFonts w:asciiTheme="minorHAnsi" w:eastAsia="Times New Roman" w:hAnsiTheme="minorHAnsi" w:cstheme="minorHAnsi"/>
          <w:color w:val="000000"/>
          <w:sz w:val="22"/>
          <w:szCs w:val="22"/>
        </w:rPr>
      </w:pPr>
      <w:r>
        <w:rPr>
          <w:rFonts w:asciiTheme="minorHAnsi" w:hAnsiTheme="minorHAnsi" w:cstheme="minorHAnsi"/>
          <w:color w:val="26282A"/>
          <w:sz w:val="22"/>
          <w:szCs w:val="22"/>
        </w:rPr>
        <w:t>The ARRL rule, by comparison, using just two examples, has no exceptions when a transaction might still be fair to the corporation</w:t>
      </w:r>
      <w:r>
        <w:rPr>
          <w:rStyle w:val="FootnoteReference"/>
          <w:rFonts w:asciiTheme="minorHAnsi" w:hAnsiTheme="minorHAnsi" w:cstheme="minorHAnsi"/>
          <w:color w:val="26282A"/>
          <w:sz w:val="22"/>
          <w:szCs w:val="22"/>
        </w:rPr>
        <w:footnoteReference w:id="15"/>
      </w:r>
      <w:r>
        <w:rPr>
          <w:rFonts w:asciiTheme="minorHAnsi" w:hAnsiTheme="minorHAnsi" w:cstheme="minorHAnsi"/>
          <w:color w:val="26282A"/>
          <w:sz w:val="22"/>
          <w:szCs w:val="22"/>
        </w:rPr>
        <w:t>, and no exception when disclosure by a spouse may “</w:t>
      </w:r>
      <w:r w:rsidRPr="00D917EC">
        <w:rPr>
          <w:rFonts w:asciiTheme="minorHAnsi" w:eastAsia="Times New Roman" w:hAnsiTheme="minorHAnsi" w:cstheme="minorHAnsi"/>
          <w:color w:val="000000"/>
          <w:sz w:val="22"/>
          <w:szCs w:val="22"/>
        </w:rPr>
        <w:t>violate a duty imposed under law, a legally enforceable obligation of confidentiality or a professional ethics rule, provided that the conflicted director discloses to the qualified directors voting on the transaction</w:t>
      </w:r>
      <w:r>
        <w:rPr>
          <w:rFonts w:asciiTheme="minorHAnsi" w:eastAsia="Times New Roman" w:hAnsiTheme="minorHAnsi" w:cstheme="minorHAnsi"/>
          <w:color w:val="000000"/>
          <w:sz w:val="22"/>
          <w:szCs w:val="22"/>
        </w:rPr>
        <w:t>.”</w:t>
      </w:r>
      <w:r w:rsidR="007E0EE4">
        <w:rPr>
          <w:rStyle w:val="FootnoteReference"/>
          <w:rFonts w:asciiTheme="minorHAnsi" w:eastAsia="Times New Roman" w:hAnsiTheme="minorHAnsi" w:cstheme="minorHAnsi"/>
          <w:color w:val="000000"/>
          <w:sz w:val="22"/>
          <w:szCs w:val="22"/>
        </w:rPr>
        <w:footnoteReference w:id="16"/>
      </w:r>
    </w:p>
    <w:p w:rsidR="00D917EC" w:rsidRDefault="007E0EE4" w:rsidP="00D917EC">
      <w:pPr>
        <w:pStyle w:val="xydp96ef9228yiv6231379933ydpc84ecee7yiv9554363629msonormal"/>
        <w:ind w:firstLine="360"/>
        <w:rPr>
          <w:rFonts w:asciiTheme="minorHAnsi" w:hAnsiTheme="minorHAnsi" w:cstheme="minorHAnsi"/>
          <w:color w:val="26282A"/>
          <w:sz w:val="22"/>
          <w:szCs w:val="22"/>
        </w:rPr>
      </w:pPr>
      <w:proofErr w:type="gramStart"/>
      <w:r w:rsidRPr="007E0EE4">
        <w:rPr>
          <w:rFonts w:asciiTheme="minorHAnsi" w:eastAsia="Times New Roman" w:hAnsiTheme="minorHAnsi" w:cstheme="minorHAnsi"/>
          <w:b/>
          <w:color w:val="000000"/>
          <w:sz w:val="22"/>
          <w:szCs w:val="22"/>
        </w:rPr>
        <w:t>Attempts to Super</w:t>
      </w:r>
      <w:r>
        <w:rPr>
          <w:rFonts w:asciiTheme="minorHAnsi" w:eastAsia="Times New Roman" w:hAnsiTheme="minorHAnsi" w:cstheme="minorHAnsi"/>
          <w:b/>
          <w:color w:val="000000"/>
          <w:sz w:val="22"/>
          <w:szCs w:val="22"/>
        </w:rPr>
        <w:t>s</w:t>
      </w:r>
      <w:r w:rsidRPr="007E0EE4">
        <w:rPr>
          <w:rFonts w:asciiTheme="minorHAnsi" w:eastAsia="Times New Roman" w:hAnsiTheme="minorHAnsi" w:cstheme="minorHAnsi"/>
          <w:b/>
          <w:color w:val="000000"/>
          <w:sz w:val="22"/>
          <w:szCs w:val="22"/>
        </w:rPr>
        <w:t>ede Connecticut Law.</w:t>
      </w:r>
      <w:proofErr w:type="gramEnd"/>
      <w:r>
        <w:rPr>
          <w:rFonts w:asciiTheme="minorHAnsi" w:eastAsia="Times New Roman" w:hAnsiTheme="minorHAnsi" w:cstheme="minorHAnsi"/>
          <w:color w:val="000000"/>
          <w:sz w:val="22"/>
          <w:szCs w:val="22"/>
        </w:rPr>
        <w:t xml:space="preserve"> T</w:t>
      </w:r>
      <w:r w:rsidR="00785941" w:rsidRPr="007E0EE4">
        <w:rPr>
          <w:rFonts w:asciiTheme="minorHAnsi" w:eastAsia="Times New Roman" w:hAnsiTheme="minorHAnsi" w:cstheme="minorHAnsi"/>
          <w:color w:val="000000"/>
          <w:sz w:val="22"/>
          <w:szCs w:val="22"/>
        </w:rPr>
        <w:t>he ARRL rule says</w:t>
      </w:r>
      <w:r w:rsidRPr="007E0EE4">
        <w:rPr>
          <w:rFonts w:asciiTheme="minorHAnsi" w:eastAsia="Times New Roman" w:hAnsiTheme="minorHAnsi" w:cstheme="minorHAnsi"/>
          <w:color w:val="000000"/>
          <w:sz w:val="22"/>
          <w:szCs w:val="22"/>
        </w:rPr>
        <w:t>: “</w:t>
      </w:r>
      <w:r w:rsidRPr="007E0EE4">
        <w:rPr>
          <w:rFonts w:asciiTheme="minorHAnsi" w:hAnsiTheme="minorHAnsi" w:cstheme="minorHAnsi"/>
          <w:sz w:val="22"/>
          <w:szCs w:val="22"/>
        </w:rPr>
        <w:t xml:space="preserve">This policy is intended to supplement but not supersede any applicable laws governing conflicts of interest in Connecticut nonprofit and charitable corporations.” </w:t>
      </w:r>
      <w:r w:rsidR="00785941" w:rsidRPr="007E0EE4">
        <w:rPr>
          <w:rFonts w:asciiTheme="minorHAnsi" w:eastAsia="Times New Roman" w:hAnsiTheme="minorHAnsi" w:cstheme="minorHAnsi"/>
          <w:color w:val="000000"/>
          <w:sz w:val="22"/>
          <w:szCs w:val="22"/>
        </w:rPr>
        <w:t xml:space="preserve"> </w:t>
      </w:r>
      <w:r w:rsidR="00785941" w:rsidRPr="007E0EE4">
        <w:rPr>
          <w:rFonts w:asciiTheme="minorHAnsi" w:hAnsiTheme="minorHAnsi" w:cstheme="minorHAnsi"/>
          <w:color w:val="26282A"/>
          <w:sz w:val="22"/>
          <w:szCs w:val="22"/>
        </w:rPr>
        <w:t xml:space="preserve"> </w:t>
      </w:r>
      <w:r>
        <w:rPr>
          <w:rFonts w:asciiTheme="minorHAnsi" w:hAnsiTheme="minorHAnsi" w:cstheme="minorHAnsi"/>
          <w:color w:val="26282A"/>
          <w:sz w:val="22"/>
          <w:szCs w:val="22"/>
        </w:rPr>
        <w:t xml:space="preserve">Yet it </w:t>
      </w:r>
      <w:r w:rsidRPr="00095F6C">
        <w:rPr>
          <w:rFonts w:asciiTheme="minorHAnsi" w:hAnsiTheme="minorHAnsi" w:cstheme="minorHAnsi"/>
          <w:i/>
          <w:color w:val="26282A"/>
          <w:sz w:val="22"/>
          <w:szCs w:val="22"/>
        </w:rPr>
        <w:t>does</w:t>
      </w:r>
      <w:r>
        <w:rPr>
          <w:rFonts w:asciiTheme="minorHAnsi" w:hAnsiTheme="minorHAnsi" w:cstheme="minorHAnsi"/>
          <w:color w:val="26282A"/>
          <w:sz w:val="22"/>
          <w:szCs w:val="22"/>
        </w:rPr>
        <w:t xml:space="preserve"> pretend to supersede Connecticut law by not including the sensible elements mentioned above, and others.</w:t>
      </w:r>
    </w:p>
    <w:p w:rsidR="007E0EE4" w:rsidRPr="003F2998" w:rsidRDefault="007E0EE4" w:rsidP="007E0EE4">
      <w:pPr>
        <w:pStyle w:val="xydp96ef9228yiv6231379933ydpc84ecee7yiv9554363629msonormal"/>
        <w:tabs>
          <w:tab w:val="left" w:pos="2880"/>
          <w:tab w:val="left" w:pos="2970"/>
        </w:tabs>
        <w:ind w:firstLine="360"/>
        <w:rPr>
          <w:rFonts w:asciiTheme="minorHAnsi" w:hAnsiTheme="minorHAnsi" w:cstheme="minorHAnsi"/>
          <w:b/>
          <w:color w:val="26282A"/>
          <w:sz w:val="22"/>
          <w:szCs w:val="22"/>
        </w:rPr>
      </w:pPr>
      <w:r w:rsidRPr="007E0EE4">
        <w:rPr>
          <w:rFonts w:asciiTheme="minorHAnsi" w:hAnsiTheme="minorHAnsi" w:cstheme="minorHAnsi"/>
          <w:b/>
          <w:color w:val="26282A"/>
          <w:sz w:val="22"/>
          <w:szCs w:val="22"/>
        </w:rPr>
        <w:t xml:space="preserve">The Conflict of Interest </w:t>
      </w:r>
      <w:r w:rsidR="003F2998">
        <w:rPr>
          <w:rFonts w:asciiTheme="minorHAnsi" w:hAnsiTheme="minorHAnsi" w:cstheme="minorHAnsi"/>
          <w:b/>
          <w:color w:val="26282A"/>
          <w:sz w:val="22"/>
          <w:szCs w:val="22"/>
        </w:rPr>
        <w:t>Rule</w:t>
      </w:r>
      <w:r w:rsidRPr="007E0EE4">
        <w:rPr>
          <w:rFonts w:asciiTheme="minorHAnsi" w:hAnsiTheme="minorHAnsi" w:cstheme="minorHAnsi"/>
          <w:b/>
          <w:color w:val="26282A"/>
          <w:sz w:val="22"/>
          <w:szCs w:val="22"/>
        </w:rPr>
        <w:t xml:space="preserve"> is </w:t>
      </w:r>
      <w:proofErr w:type="gramStart"/>
      <w:r w:rsidRPr="007E0EE4">
        <w:rPr>
          <w:rFonts w:asciiTheme="minorHAnsi" w:hAnsiTheme="minorHAnsi" w:cstheme="minorHAnsi"/>
          <w:b/>
          <w:color w:val="26282A"/>
          <w:sz w:val="22"/>
          <w:szCs w:val="22"/>
        </w:rPr>
        <w:t>Designed</w:t>
      </w:r>
      <w:proofErr w:type="gramEnd"/>
      <w:r w:rsidRPr="007E0EE4">
        <w:rPr>
          <w:rFonts w:asciiTheme="minorHAnsi" w:hAnsiTheme="minorHAnsi" w:cstheme="minorHAnsi"/>
          <w:b/>
          <w:color w:val="26282A"/>
          <w:sz w:val="22"/>
          <w:szCs w:val="22"/>
        </w:rPr>
        <w:t xml:space="preserve"> to be Weaponized.</w:t>
      </w:r>
      <w:r>
        <w:rPr>
          <w:rFonts w:asciiTheme="minorHAnsi" w:hAnsiTheme="minorHAnsi" w:cstheme="minorHAnsi"/>
          <w:b/>
          <w:color w:val="26282A"/>
          <w:sz w:val="22"/>
          <w:szCs w:val="22"/>
        </w:rPr>
        <w:t xml:space="preserve">  </w:t>
      </w:r>
      <w:r w:rsidRPr="007E0EE4">
        <w:rPr>
          <w:rFonts w:asciiTheme="minorHAnsi" w:hAnsiTheme="minorHAnsi" w:cstheme="minorHAnsi"/>
          <w:color w:val="26282A"/>
          <w:sz w:val="22"/>
          <w:szCs w:val="22"/>
        </w:rPr>
        <w:t>Posing as</w:t>
      </w:r>
      <w:r>
        <w:rPr>
          <w:rFonts w:asciiTheme="minorHAnsi" w:hAnsiTheme="minorHAnsi" w:cstheme="minorHAnsi"/>
          <w:b/>
          <w:color w:val="26282A"/>
          <w:sz w:val="22"/>
          <w:szCs w:val="22"/>
        </w:rPr>
        <w:t xml:space="preserve"> </w:t>
      </w:r>
      <w:r w:rsidRPr="007E0EE4">
        <w:rPr>
          <w:rFonts w:asciiTheme="minorHAnsi" w:hAnsiTheme="minorHAnsi" w:cstheme="minorHAnsi"/>
          <w:color w:val="26282A"/>
          <w:sz w:val="22"/>
          <w:szCs w:val="22"/>
        </w:rPr>
        <w:t>a conflict of interest rule, it contains elements that can be weaponized against meddlesome directors.</w:t>
      </w:r>
      <w:r>
        <w:rPr>
          <w:rFonts w:asciiTheme="minorHAnsi" w:hAnsiTheme="minorHAnsi" w:cstheme="minorHAnsi"/>
          <w:b/>
          <w:color w:val="26282A"/>
          <w:sz w:val="22"/>
          <w:szCs w:val="22"/>
        </w:rPr>
        <w:t xml:space="preserve"> </w:t>
      </w:r>
      <w:r w:rsidRPr="003F2998">
        <w:rPr>
          <w:rFonts w:asciiTheme="minorHAnsi" w:hAnsiTheme="minorHAnsi" w:cstheme="minorHAnsi"/>
          <w:color w:val="26282A"/>
          <w:sz w:val="22"/>
          <w:szCs w:val="22"/>
        </w:rPr>
        <w:t xml:space="preserve"> </w:t>
      </w:r>
      <w:r w:rsidR="003F2998" w:rsidRPr="003F2998">
        <w:rPr>
          <w:rFonts w:asciiTheme="minorHAnsi" w:hAnsiTheme="minorHAnsi" w:cstheme="minorHAnsi"/>
          <w:color w:val="26282A"/>
          <w:sz w:val="22"/>
          <w:szCs w:val="22"/>
        </w:rPr>
        <w:t>Read this:</w:t>
      </w:r>
    </w:p>
    <w:p w:rsidR="003F2998" w:rsidRPr="003F2998" w:rsidRDefault="003F2998" w:rsidP="00692D79">
      <w:pPr>
        <w:pStyle w:val="xydp96ef9228yiv6231379933ydpc84ecee7yiv9554363629msonormal"/>
        <w:tabs>
          <w:tab w:val="left" w:pos="2880"/>
          <w:tab w:val="left" w:pos="2970"/>
        </w:tabs>
        <w:ind w:left="1080"/>
        <w:rPr>
          <w:rFonts w:asciiTheme="minorHAnsi" w:hAnsiTheme="minorHAnsi" w:cstheme="minorHAnsi"/>
          <w:i/>
          <w:sz w:val="22"/>
          <w:szCs w:val="22"/>
        </w:rPr>
      </w:pPr>
      <w:r w:rsidRPr="003F2998">
        <w:rPr>
          <w:rFonts w:asciiTheme="minorHAnsi" w:hAnsiTheme="minorHAnsi" w:cstheme="minorHAnsi"/>
          <w:i/>
          <w:sz w:val="22"/>
          <w:szCs w:val="22"/>
        </w:rPr>
        <w:t>Purposes</w:t>
      </w:r>
    </w:p>
    <w:p w:rsidR="007E0EE4" w:rsidRDefault="007E0EE4" w:rsidP="00692D79">
      <w:pPr>
        <w:pStyle w:val="xydp96ef9228yiv6231379933ydpc84ecee7yiv9554363629msonormal"/>
        <w:tabs>
          <w:tab w:val="left" w:pos="2880"/>
          <w:tab w:val="left" w:pos="2970"/>
        </w:tabs>
        <w:ind w:left="1080" w:right="720"/>
        <w:rPr>
          <w:rFonts w:asciiTheme="minorHAnsi" w:hAnsiTheme="minorHAnsi" w:cstheme="minorHAnsi"/>
          <w:sz w:val="22"/>
          <w:szCs w:val="22"/>
        </w:rPr>
      </w:pPr>
      <w:r w:rsidRPr="003F2998">
        <w:rPr>
          <w:rFonts w:asciiTheme="minorHAnsi" w:hAnsiTheme="minorHAnsi" w:cstheme="minorHAnsi"/>
          <w:sz w:val="22"/>
          <w:szCs w:val="22"/>
        </w:rPr>
        <w:t>(1) to preserve the confidentiality of business, financial, strategic, or other information, data or plans not intended for public dissemination which, if disclosed, could in the view of the Board harm the ARRL; (2) to protect the integrity of the decision-making process of the Board so that the deliberations, contributions and decisions of the Board are made in the sole interest of the ARRL and its members collectively</w:t>
      </w:r>
      <w:r w:rsidR="003F2998" w:rsidRPr="003F2998">
        <w:rPr>
          <w:rFonts w:asciiTheme="minorHAnsi" w:hAnsiTheme="minorHAnsi" w:cstheme="minorHAnsi"/>
          <w:sz w:val="22"/>
          <w:szCs w:val="22"/>
        </w:rPr>
        <w:t xml:space="preserve"> . . .</w:t>
      </w:r>
      <w:r w:rsidR="003F2998" w:rsidRPr="003F2998">
        <w:rPr>
          <w:rStyle w:val="FootnoteReference"/>
          <w:rFonts w:asciiTheme="minorHAnsi" w:hAnsiTheme="minorHAnsi" w:cstheme="minorHAnsi"/>
          <w:sz w:val="22"/>
          <w:szCs w:val="22"/>
        </w:rPr>
        <w:footnoteReference w:id="17"/>
      </w:r>
    </w:p>
    <w:p w:rsidR="00484DB4" w:rsidRPr="000C69CF" w:rsidRDefault="003F2998" w:rsidP="003F2998">
      <w:pPr>
        <w:pStyle w:val="xydp96ef9228yiv6231379933ydpc84ecee7yiv9554363629msonormal"/>
        <w:tabs>
          <w:tab w:val="left" w:pos="2880"/>
          <w:tab w:val="left" w:pos="2970"/>
        </w:tabs>
        <w:ind w:right="720" w:firstLine="360"/>
        <w:rPr>
          <w:rFonts w:asciiTheme="minorHAnsi" w:hAnsiTheme="minorHAnsi" w:cstheme="minorHAnsi"/>
          <w:i/>
          <w:color w:val="26282A"/>
          <w:sz w:val="22"/>
          <w:szCs w:val="22"/>
        </w:rPr>
      </w:pPr>
      <w:r w:rsidRPr="00692D79">
        <w:rPr>
          <w:rFonts w:asciiTheme="minorHAnsi" w:hAnsiTheme="minorHAnsi" w:cstheme="minorHAnsi"/>
          <w:i/>
          <w:color w:val="26282A"/>
          <w:sz w:val="22"/>
          <w:szCs w:val="22"/>
        </w:rPr>
        <w:t>Purpose (1) is not a conflict of interest rule, it is a confidentiality rule.</w:t>
      </w:r>
      <w:r>
        <w:rPr>
          <w:rFonts w:asciiTheme="minorHAnsi" w:hAnsiTheme="minorHAnsi" w:cstheme="minorHAnsi"/>
          <w:color w:val="26282A"/>
          <w:sz w:val="22"/>
          <w:szCs w:val="22"/>
        </w:rPr>
        <w:t xml:space="preserve"> What is it doing in the conflicts of interest portion?  </w:t>
      </w:r>
      <w:r w:rsidR="000C69CF">
        <w:rPr>
          <w:rFonts w:asciiTheme="minorHAnsi" w:hAnsiTheme="minorHAnsi" w:cstheme="minorHAnsi"/>
          <w:color w:val="26282A"/>
          <w:sz w:val="22"/>
          <w:szCs w:val="22"/>
        </w:rPr>
        <w:t>I</w:t>
      </w:r>
      <w:r>
        <w:rPr>
          <w:rFonts w:asciiTheme="minorHAnsi" w:hAnsiTheme="minorHAnsi" w:cstheme="minorHAnsi"/>
          <w:color w:val="26282A"/>
          <w:sz w:val="22"/>
          <w:szCs w:val="22"/>
        </w:rPr>
        <w:t xml:space="preserve">t conflicts with the Connecticut rule that </w:t>
      </w:r>
      <w:proofErr w:type="gramStart"/>
      <w:r>
        <w:rPr>
          <w:rFonts w:asciiTheme="minorHAnsi" w:hAnsiTheme="minorHAnsi" w:cstheme="minorHAnsi"/>
          <w:color w:val="26282A"/>
          <w:sz w:val="22"/>
          <w:szCs w:val="22"/>
        </w:rPr>
        <w:t>disclosure,</w:t>
      </w:r>
      <w:proofErr w:type="gramEnd"/>
      <w:r>
        <w:rPr>
          <w:rFonts w:asciiTheme="minorHAnsi" w:hAnsiTheme="minorHAnsi" w:cstheme="minorHAnsi"/>
          <w:color w:val="26282A"/>
          <w:sz w:val="22"/>
          <w:szCs w:val="22"/>
        </w:rPr>
        <w:t xml:space="preserve"> if in the Board Member’s good faith opinion, is permitted. </w:t>
      </w:r>
      <w:r w:rsidR="000C69CF">
        <w:rPr>
          <w:rFonts w:asciiTheme="minorHAnsi" w:hAnsiTheme="minorHAnsi" w:cstheme="minorHAnsi"/>
          <w:color w:val="26282A"/>
          <w:sz w:val="22"/>
          <w:szCs w:val="22"/>
        </w:rPr>
        <w:t>D</w:t>
      </w:r>
      <w:r>
        <w:rPr>
          <w:rFonts w:asciiTheme="minorHAnsi" w:hAnsiTheme="minorHAnsi" w:cstheme="minorHAnsi"/>
          <w:color w:val="26282A"/>
          <w:sz w:val="22"/>
          <w:szCs w:val="22"/>
        </w:rPr>
        <w:t xml:space="preserve">isclosing things to the membership may be in the best interests of the membership, but could still get </w:t>
      </w:r>
      <w:r w:rsidR="000C69CF">
        <w:rPr>
          <w:rFonts w:asciiTheme="minorHAnsi" w:hAnsiTheme="minorHAnsi" w:cstheme="minorHAnsi"/>
          <w:color w:val="26282A"/>
          <w:sz w:val="22"/>
          <w:szCs w:val="22"/>
        </w:rPr>
        <w:t>a</w:t>
      </w:r>
      <w:r>
        <w:rPr>
          <w:rFonts w:asciiTheme="minorHAnsi" w:hAnsiTheme="minorHAnsi" w:cstheme="minorHAnsi"/>
          <w:color w:val="26282A"/>
          <w:sz w:val="22"/>
          <w:szCs w:val="22"/>
        </w:rPr>
        <w:t xml:space="preserve"> Board Member sanctioned. I don’t believe for a minute that policy discussions in the Boardroom, with usually over 35 people present, absent the usual litigation and human resources exceptions, </w:t>
      </w:r>
      <w:r w:rsidR="00484DB4">
        <w:rPr>
          <w:rFonts w:asciiTheme="minorHAnsi" w:hAnsiTheme="minorHAnsi" w:cstheme="minorHAnsi"/>
          <w:color w:val="26282A"/>
          <w:sz w:val="22"/>
          <w:szCs w:val="22"/>
        </w:rPr>
        <w:t xml:space="preserve">harm the ARRL if revealed. </w:t>
      </w:r>
      <w:r w:rsidR="00484DB4" w:rsidRPr="000C69CF">
        <w:rPr>
          <w:rFonts w:asciiTheme="minorHAnsi" w:hAnsiTheme="minorHAnsi" w:cstheme="minorHAnsi"/>
          <w:i/>
          <w:color w:val="26282A"/>
          <w:sz w:val="22"/>
          <w:szCs w:val="22"/>
        </w:rPr>
        <w:t>If the QST subscription plans had been publicly disseminated, it would have helped, not harmed, the ARRL.</w:t>
      </w:r>
    </w:p>
    <w:p w:rsidR="00484DB4" w:rsidRPr="003F2998" w:rsidRDefault="00484DB4" w:rsidP="003F2998">
      <w:pPr>
        <w:pStyle w:val="xydp96ef9228yiv6231379933ydpc84ecee7yiv9554363629msonormal"/>
        <w:tabs>
          <w:tab w:val="left" w:pos="2880"/>
          <w:tab w:val="left" w:pos="2970"/>
        </w:tabs>
        <w:ind w:right="720" w:firstLine="360"/>
        <w:rPr>
          <w:rFonts w:asciiTheme="minorHAnsi" w:hAnsiTheme="minorHAnsi" w:cstheme="minorHAnsi"/>
          <w:color w:val="26282A"/>
          <w:sz w:val="22"/>
          <w:szCs w:val="22"/>
        </w:rPr>
      </w:pPr>
      <w:r>
        <w:rPr>
          <w:rFonts w:asciiTheme="minorHAnsi" w:hAnsiTheme="minorHAnsi" w:cstheme="minorHAnsi"/>
          <w:color w:val="26282A"/>
          <w:sz w:val="22"/>
          <w:szCs w:val="22"/>
        </w:rPr>
        <w:t xml:space="preserve"> </w:t>
      </w:r>
      <w:r w:rsidR="003F2998">
        <w:rPr>
          <w:rFonts w:asciiTheme="minorHAnsi" w:hAnsiTheme="minorHAnsi" w:cstheme="minorHAnsi"/>
          <w:color w:val="26282A"/>
          <w:sz w:val="22"/>
          <w:szCs w:val="22"/>
        </w:rPr>
        <w:t xml:space="preserve"> </w:t>
      </w:r>
      <w:r w:rsidR="003F2998" w:rsidRPr="00C06E64">
        <w:rPr>
          <w:rFonts w:asciiTheme="minorHAnsi" w:hAnsiTheme="minorHAnsi" w:cstheme="minorHAnsi"/>
          <w:i/>
          <w:color w:val="26282A"/>
          <w:sz w:val="22"/>
          <w:szCs w:val="22"/>
        </w:rPr>
        <w:t>Purpose (2) is not a conflict of interest rule, it is a secrecy rule.</w:t>
      </w:r>
      <w:r w:rsidR="003F2998">
        <w:rPr>
          <w:rFonts w:asciiTheme="minorHAnsi" w:hAnsiTheme="minorHAnsi" w:cstheme="minorHAnsi"/>
          <w:color w:val="26282A"/>
          <w:sz w:val="22"/>
          <w:szCs w:val="22"/>
        </w:rPr>
        <w:t xml:space="preserve"> Wh</w:t>
      </w:r>
      <w:r w:rsidR="000C69CF">
        <w:rPr>
          <w:rFonts w:asciiTheme="minorHAnsi" w:hAnsiTheme="minorHAnsi" w:cstheme="minorHAnsi"/>
          <w:color w:val="26282A"/>
          <w:sz w:val="22"/>
          <w:szCs w:val="22"/>
        </w:rPr>
        <w:t>y</w:t>
      </w:r>
      <w:r w:rsidR="003F2998">
        <w:rPr>
          <w:rFonts w:asciiTheme="minorHAnsi" w:hAnsiTheme="minorHAnsi" w:cstheme="minorHAnsi"/>
          <w:color w:val="26282A"/>
          <w:sz w:val="22"/>
          <w:szCs w:val="22"/>
        </w:rPr>
        <w:t xml:space="preserve"> is it in the conflicts of interest </w:t>
      </w:r>
      <w:r w:rsidR="000C69CF">
        <w:rPr>
          <w:rFonts w:asciiTheme="minorHAnsi" w:hAnsiTheme="minorHAnsi" w:cstheme="minorHAnsi"/>
          <w:color w:val="26282A"/>
          <w:sz w:val="22"/>
          <w:szCs w:val="22"/>
        </w:rPr>
        <w:t>rule</w:t>
      </w:r>
      <w:r w:rsidR="003F2998">
        <w:rPr>
          <w:rFonts w:asciiTheme="minorHAnsi" w:hAnsiTheme="minorHAnsi" w:cstheme="minorHAnsi"/>
          <w:color w:val="26282A"/>
          <w:sz w:val="22"/>
          <w:szCs w:val="22"/>
        </w:rPr>
        <w:t xml:space="preserve">? </w:t>
      </w:r>
      <w:r w:rsidR="000C69CF">
        <w:rPr>
          <w:rFonts w:asciiTheme="minorHAnsi" w:hAnsiTheme="minorHAnsi" w:cstheme="minorHAnsi"/>
          <w:color w:val="26282A"/>
          <w:sz w:val="22"/>
          <w:szCs w:val="22"/>
        </w:rPr>
        <w:t>I</w:t>
      </w:r>
      <w:r>
        <w:rPr>
          <w:rFonts w:asciiTheme="minorHAnsi" w:hAnsiTheme="minorHAnsi" w:cstheme="minorHAnsi"/>
          <w:color w:val="26282A"/>
          <w:sz w:val="22"/>
          <w:szCs w:val="22"/>
        </w:rPr>
        <w:t xml:space="preserve">s the Board so nervous (or devious?) that deliberations cannot be revealed? This section exists solely to punish Board Members who seek wider consultation on policy matters than are available in the Board room. </w:t>
      </w:r>
      <w:r w:rsidR="000C69CF">
        <w:rPr>
          <w:rFonts w:asciiTheme="minorHAnsi" w:hAnsiTheme="minorHAnsi" w:cstheme="minorHAnsi"/>
          <w:color w:val="26282A"/>
          <w:sz w:val="22"/>
          <w:szCs w:val="22"/>
        </w:rPr>
        <w:t>A</w:t>
      </w:r>
      <w:r>
        <w:rPr>
          <w:rFonts w:asciiTheme="minorHAnsi" w:hAnsiTheme="minorHAnsi" w:cstheme="minorHAnsi"/>
          <w:color w:val="26282A"/>
          <w:sz w:val="22"/>
          <w:szCs w:val="22"/>
        </w:rPr>
        <w:t>n attempt was made to remove N6AA from the Board because he discussed Board deliberations with members at a convention.</w:t>
      </w:r>
      <w:r w:rsidR="000C69CF">
        <w:rPr>
          <w:rFonts w:asciiTheme="minorHAnsi" w:hAnsiTheme="minorHAnsi" w:cstheme="minorHAnsi"/>
          <w:color w:val="26282A"/>
          <w:sz w:val="22"/>
          <w:szCs w:val="22"/>
        </w:rPr>
        <w:t xml:space="preserve"> Some Board members, it seems, are just too precious. </w:t>
      </w:r>
      <w:r>
        <w:rPr>
          <w:rFonts w:asciiTheme="minorHAnsi" w:hAnsiTheme="minorHAnsi" w:cstheme="minorHAnsi"/>
          <w:color w:val="26282A"/>
          <w:sz w:val="22"/>
          <w:szCs w:val="22"/>
        </w:rPr>
        <w:t>The conflict of interest rule hides unrelated rules that can be weaponized.</w:t>
      </w:r>
    </w:p>
    <w:p w:rsidR="00583FC1" w:rsidRDefault="00FB7375" w:rsidP="00583FC1">
      <w:pPr>
        <w:rPr>
          <w:b/>
        </w:rPr>
      </w:pPr>
      <w:r>
        <w:rPr>
          <w:b/>
        </w:rPr>
        <w:t xml:space="preserve">The </w:t>
      </w:r>
      <w:r w:rsidR="00583FC1" w:rsidRPr="00893AA6">
        <w:rPr>
          <w:b/>
        </w:rPr>
        <w:t>FAQ</w:t>
      </w:r>
      <w:r>
        <w:rPr>
          <w:b/>
        </w:rPr>
        <w:t>s are Misleading, or Shams</w:t>
      </w:r>
      <w:r>
        <w:rPr>
          <w:rStyle w:val="FootnoteReference"/>
          <w:b/>
        </w:rPr>
        <w:footnoteReference w:id="18"/>
      </w:r>
      <w:r>
        <w:rPr>
          <w:b/>
        </w:rPr>
        <w:t>, at Best</w:t>
      </w:r>
    </w:p>
    <w:p w:rsidR="00583FC1" w:rsidRDefault="00583FC1" w:rsidP="00583FC1">
      <w:pPr>
        <w:pStyle w:val="NormalWeb"/>
        <w:shd w:val="clear" w:color="auto" w:fill="FFFFFF"/>
        <w:spacing w:before="0" w:beforeAutospacing="0" w:after="0" w:afterAutospacing="0"/>
        <w:textAlignment w:val="baseline"/>
        <w:rPr>
          <w:rFonts w:ascii="Arial" w:hAnsi="Arial" w:cs="Arial"/>
          <w:color w:val="224466"/>
          <w:sz w:val="21"/>
          <w:szCs w:val="21"/>
        </w:rPr>
      </w:pPr>
      <w:r>
        <w:rPr>
          <w:rStyle w:val="Strong"/>
          <w:rFonts w:ascii="Arial" w:hAnsi="Arial" w:cs="Arial"/>
          <w:color w:val="224466"/>
          <w:sz w:val="21"/>
          <w:szCs w:val="21"/>
          <w:bdr w:val="none" w:sz="0" w:space="0" w:color="auto" w:frame="1"/>
        </w:rPr>
        <w:t>4. Are the proposals based on documents that are available to all ARRL members?</w:t>
      </w:r>
    </w:p>
    <w:p w:rsidR="00583FC1" w:rsidRDefault="00583FC1" w:rsidP="00583FC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 xml:space="preserve">Yes. All documents related to these proposed revisions are available to ARRL members. ARRL’s </w:t>
      </w:r>
      <w:r w:rsidRPr="00334637">
        <w:rPr>
          <w:rFonts w:ascii="Arial" w:hAnsi="Arial" w:cs="Arial"/>
          <w:b/>
          <w:color w:val="224466"/>
          <w:sz w:val="21"/>
          <w:szCs w:val="21"/>
        </w:rPr>
        <w:t>Governing Documents</w:t>
      </w:r>
      <w:r>
        <w:rPr>
          <w:rFonts w:ascii="Arial" w:hAnsi="Arial" w:cs="Arial"/>
          <w:color w:val="224466"/>
          <w:sz w:val="21"/>
          <w:szCs w:val="21"/>
        </w:rPr>
        <w:t xml:space="preserve"> (Articles of Incorporation, By-Laws, and Rules and Regulations) have all been publicly available on the ARRL website </w:t>
      </w:r>
      <w:r w:rsidRPr="00334637">
        <w:rPr>
          <w:rFonts w:ascii="Arial" w:hAnsi="Arial" w:cs="Arial"/>
          <w:b/>
          <w:color w:val="224466"/>
          <w:sz w:val="21"/>
          <w:szCs w:val="21"/>
        </w:rPr>
        <w:t>for years</w:t>
      </w:r>
      <w:r>
        <w:rPr>
          <w:rFonts w:ascii="Arial" w:hAnsi="Arial" w:cs="Arial"/>
          <w:color w:val="224466"/>
          <w:sz w:val="21"/>
          <w:szCs w:val="21"/>
        </w:rPr>
        <w:t xml:space="preserve">. At the </w:t>
      </w:r>
      <w:r w:rsidRPr="00334637">
        <w:rPr>
          <w:rFonts w:ascii="Arial" w:hAnsi="Arial" w:cs="Arial"/>
          <w:b/>
          <w:color w:val="224466"/>
          <w:sz w:val="21"/>
          <w:szCs w:val="21"/>
        </w:rPr>
        <w:t>January 2024</w:t>
      </w:r>
      <w:r>
        <w:rPr>
          <w:rFonts w:ascii="Arial" w:hAnsi="Arial" w:cs="Arial"/>
          <w:color w:val="224466"/>
          <w:sz w:val="21"/>
          <w:szCs w:val="21"/>
        </w:rPr>
        <w:t xml:space="preserve"> ARRL Board Meeting, a motion was passed to also make the </w:t>
      </w:r>
      <w:r w:rsidRPr="00334637">
        <w:rPr>
          <w:rFonts w:ascii="Arial" w:hAnsi="Arial" w:cs="Arial"/>
          <w:b/>
          <w:color w:val="224466"/>
          <w:sz w:val="21"/>
          <w:szCs w:val="21"/>
        </w:rPr>
        <w:t>Director Workbook available</w:t>
      </w:r>
      <w:r>
        <w:rPr>
          <w:rFonts w:ascii="Arial" w:hAnsi="Arial" w:cs="Arial"/>
          <w:color w:val="224466"/>
          <w:sz w:val="21"/>
          <w:szCs w:val="21"/>
        </w:rPr>
        <w:t>.</w:t>
      </w:r>
    </w:p>
    <w:p w:rsidR="005961B4" w:rsidRDefault="005961B4" w:rsidP="00C06E64">
      <w:pPr>
        <w:pStyle w:val="NormalWeb"/>
        <w:shd w:val="clear" w:color="auto" w:fill="FFFFFF"/>
        <w:spacing w:before="0" w:beforeAutospacing="0" w:after="0" w:afterAutospacing="0"/>
        <w:textAlignment w:val="baseline"/>
        <w:rPr>
          <w:rStyle w:val="Strong"/>
          <w:rFonts w:asciiTheme="minorHAnsi" w:hAnsiTheme="minorHAnsi" w:cstheme="minorHAnsi"/>
          <w:sz w:val="22"/>
          <w:szCs w:val="22"/>
          <w:bdr w:val="none" w:sz="0" w:space="0" w:color="auto" w:frame="1"/>
        </w:rPr>
      </w:pPr>
      <w:r w:rsidRPr="005961B4">
        <w:rPr>
          <w:rStyle w:val="Strong"/>
          <w:rFonts w:asciiTheme="minorHAnsi" w:hAnsiTheme="minorHAnsi" w:cstheme="minorHAnsi"/>
          <w:sz w:val="22"/>
          <w:szCs w:val="22"/>
          <w:bdr w:val="none" w:sz="0" w:space="0" w:color="auto" w:frame="1"/>
        </w:rPr>
        <w:t>Comment</w:t>
      </w:r>
      <w:r>
        <w:rPr>
          <w:rStyle w:val="Strong"/>
          <w:rFonts w:asciiTheme="minorHAnsi" w:hAnsiTheme="minorHAnsi" w:cstheme="minorHAnsi"/>
          <w:sz w:val="22"/>
          <w:szCs w:val="22"/>
          <w:bdr w:val="none" w:sz="0" w:space="0" w:color="auto" w:frame="1"/>
        </w:rPr>
        <w:t>s</w:t>
      </w:r>
      <w:r w:rsidRPr="005961B4">
        <w:rPr>
          <w:rStyle w:val="Strong"/>
          <w:rFonts w:asciiTheme="minorHAnsi" w:hAnsiTheme="minorHAnsi" w:cstheme="minorHAnsi"/>
          <w:sz w:val="22"/>
          <w:szCs w:val="22"/>
          <w:bdr w:val="none" w:sz="0" w:space="0" w:color="auto" w:frame="1"/>
        </w:rPr>
        <w:t>:</w:t>
      </w:r>
    </w:p>
    <w:p w:rsidR="005961B4" w:rsidRPr="005961B4" w:rsidRDefault="005961B4" w:rsidP="00C06E64">
      <w:pPr>
        <w:pStyle w:val="NormalWeb"/>
        <w:numPr>
          <w:ilvl w:val="0"/>
          <w:numId w:val="2"/>
        </w:numPr>
        <w:shd w:val="clear" w:color="auto" w:fill="FFFFFF"/>
        <w:spacing w:before="0" w:beforeAutospacing="0" w:after="0" w:afterAutospacing="0"/>
        <w:ind w:left="720"/>
        <w:textAlignment w:val="baseline"/>
        <w:rPr>
          <w:rStyle w:val="Strong"/>
          <w:rFonts w:asciiTheme="minorHAnsi" w:hAnsiTheme="minorHAnsi" w:cstheme="minorHAnsi"/>
          <w:sz w:val="22"/>
          <w:szCs w:val="22"/>
          <w:bdr w:val="none" w:sz="0" w:space="0" w:color="auto" w:frame="1"/>
        </w:rPr>
      </w:pPr>
      <w:r>
        <w:rPr>
          <w:rStyle w:val="Strong"/>
          <w:rFonts w:asciiTheme="minorHAnsi" w:hAnsiTheme="minorHAnsi" w:cstheme="minorHAnsi"/>
          <w:b w:val="0"/>
          <w:sz w:val="22"/>
          <w:szCs w:val="22"/>
          <w:bdr w:val="none" w:sz="0" w:space="0" w:color="auto" w:frame="1"/>
        </w:rPr>
        <w:t xml:space="preserve">The “Governing Documents” “available on the ARRL website for years” only appeared after I published the then secret Standing Orders and embarrassed the Board into publishing them. </w:t>
      </w:r>
    </w:p>
    <w:p w:rsidR="000C69CF" w:rsidRPr="005961B4" w:rsidRDefault="000C69CF" w:rsidP="000C69CF">
      <w:pPr>
        <w:pStyle w:val="NormalWeb"/>
        <w:numPr>
          <w:ilvl w:val="0"/>
          <w:numId w:val="2"/>
        </w:numPr>
        <w:shd w:val="clear" w:color="auto" w:fill="FFFFFF"/>
        <w:spacing w:before="0" w:beforeAutospacing="0" w:after="0" w:afterAutospacing="0"/>
        <w:ind w:left="720"/>
        <w:textAlignment w:val="baseline"/>
        <w:rPr>
          <w:rStyle w:val="Strong"/>
          <w:rFonts w:asciiTheme="minorHAnsi" w:hAnsiTheme="minorHAnsi" w:cstheme="minorHAnsi"/>
          <w:sz w:val="22"/>
          <w:szCs w:val="22"/>
          <w:bdr w:val="none" w:sz="0" w:space="0" w:color="auto" w:frame="1"/>
        </w:rPr>
      </w:pPr>
      <w:r w:rsidRPr="005961B4">
        <w:rPr>
          <w:rStyle w:val="Strong"/>
          <w:rFonts w:asciiTheme="minorHAnsi" w:hAnsiTheme="minorHAnsi" w:cstheme="minorHAnsi"/>
          <w:b w:val="0"/>
          <w:sz w:val="22"/>
          <w:szCs w:val="22"/>
          <w:bdr w:val="none" w:sz="0" w:space="0" w:color="auto" w:frame="1"/>
        </w:rPr>
        <w:t>If “all documents related to these proposed revisions are available to ARRL members</w:t>
      </w:r>
      <w:r>
        <w:rPr>
          <w:rStyle w:val="Strong"/>
          <w:rFonts w:asciiTheme="minorHAnsi" w:hAnsiTheme="minorHAnsi" w:cstheme="minorHAnsi"/>
          <w:b w:val="0"/>
          <w:sz w:val="22"/>
          <w:szCs w:val="22"/>
          <w:bdr w:val="none" w:sz="0" w:space="0" w:color="auto" w:frame="1"/>
        </w:rPr>
        <w:t>”</w:t>
      </w:r>
      <w:r w:rsidRPr="005961B4">
        <w:rPr>
          <w:rStyle w:val="Strong"/>
          <w:rFonts w:asciiTheme="minorHAnsi" w:hAnsiTheme="minorHAnsi" w:cstheme="minorHAnsi"/>
          <w:b w:val="0"/>
          <w:sz w:val="22"/>
          <w:szCs w:val="22"/>
          <w:bdr w:val="none" w:sz="0" w:space="0" w:color="auto" w:frame="1"/>
        </w:rPr>
        <w:t>,</w:t>
      </w:r>
      <w:r>
        <w:rPr>
          <w:rStyle w:val="Strong"/>
          <w:rFonts w:asciiTheme="minorHAnsi" w:hAnsiTheme="minorHAnsi" w:cstheme="minorHAnsi"/>
          <w:b w:val="0"/>
          <w:sz w:val="22"/>
          <w:szCs w:val="22"/>
          <w:bdr w:val="none" w:sz="0" w:space="0" w:color="auto" w:frame="1"/>
        </w:rPr>
        <w:t xml:space="preserve"> I dare you to find the previously mentioned</w:t>
      </w:r>
      <w:r w:rsidRPr="005961B4">
        <w:rPr>
          <w:rStyle w:val="Strong"/>
          <w:rFonts w:asciiTheme="minorHAnsi" w:hAnsiTheme="minorHAnsi" w:cstheme="minorHAnsi"/>
          <w:b w:val="0"/>
          <w:sz w:val="22"/>
          <w:szCs w:val="22"/>
          <w:bdr w:val="none" w:sz="0" w:space="0" w:color="auto" w:frame="1"/>
        </w:rPr>
        <w:t xml:space="preserve"> </w:t>
      </w:r>
      <w:r>
        <w:rPr>
          <w:rStyle w:val="Strong"/>
          <w:rFonts w:asciiTheme="minorHAnsi" w:hAnsiTheme="minorHAnsi" w:cstheme="minorHAnsi"/>
          <w:b w:val="0"/>
          <w:sz w:val="22"/>
          <w:szCs w:val="22"/>
          <w:bdr w:val="none" w:sz="0" w:space="0" w:color="auto" w:frame="1"/>
        </w:rPr>
        <w:t>policies of Standing Orders 2.3.2 and 2.6.</w:t>
      </w:r>
    </w:p>
    <w:p w:rsidR="005961B4" w:rsidRPr="0047132D" w:rsidRDefault="005961B4" w:rsidP="00C06E64">
      <w:pPr>
        <w:pStyle w:val="NormalWeb"/>
        <w:numPr>
          <w:ilvl w:val="0"/>
          <w:numId w:val="2"/>
        </w:numPr>
        <w:shd w:val="clear" w:color="auto" w:fill="FFFFFF"/>
        <w:spacing w:before="0" w:beforeAutospacing="0" w:after="0" w:afterAutospacing="0"/>
        <w:ind w:left="720"/>
        <w:textAlignment w:val="baseline"/>
        <w:rPr>
          <w:rStyle w:val="Strong"/>
          <w:rFonts w:asciiTheme="minorHAnsi" w:hAnsiTheme="minorHAnsi" w:cstheme="minorHAnsi"/>
          <w:sz w:val="22"/>
          <w:szCs w:val="22"/>
          <w:bdr w:val="none" w:sz="0" w:space="0" w:color="auto" w:frame="1"/>
        </w:rPr>
      </w:pPr>
      <w:r>
        <w:rPr>
          <w:rStyle w:val="Strong"/>
          <w:rFonts w:asciiTheme="minorHAnsi" w:hAnsiTheme="minorHAnsi" w:cstheme="minorHAnsi"/>
          <w:b w:val="0"/>
          <w:sz w:val="22"/>
          <w:szCs w:val="22"/>
          <w:bdr w:val="none" w:sz="0" w:space="0" w:color="auto" w:frame="1"/>
        </w:rPr>
        <w:t>The Director Workbook, supposedly “available . . . for years” (</w:t>
      </w:r>
      <w:r w:rsidR="0047132D">
        <w:rPr>
          <w:rStyle w:val="Strong"/>
          <w:rFonts w:asciiTheme="minorHAnsi" w:hAnsiTheme="minorHAnsi" w:cstheme="minorHAnsi"/>
          <w:b w:val="0"/>
          <w:sz w:val="22"/>
          <w:szCs w:val="22"/>
          <w:bdr w:val="none" w:sz="0" w:space="0" w:color="auto" w:frame="1"/>
        </w:rPr>
        <w:t xml:space="preserve">according to </w:t>
      </w:r>
      <w:r>
        <w:rPr>
          <w:rStyle w:val="Strong"/>
          <w:rFonts w:asciiTheme="minorHAnsi" w:hAnsiTheme="minorHAnsi" w:cstheme="minorHAnsi"/>
          <w:b w:val="0"/>
          <w:sz w:val="22"/>
          <w:szCs w:val="22"/>
          <w:bdr w:val="none" w:sz="0" w:space="0" w:color="auto" w:frame="1"/>
        </w:rPr>
        <w:t>the words above), have only been available (according to the words above)</w:t>
      </w:r>
      <w:r w:rsidR="0047132D">
        <w:rPr>
          <w:rStyle w:val="Strong"/>
          <w:rFonts w:asciiTheme="minorHAnsi" w:hAnsiTheme="minorHAnsi" w:cstheme="minorHAnsi"/>
          <w:b w:val="0"/>
          <w:sz w:val="22"/>
          <w:szCs w:val="22"/>
          <w:bdr w:val="none" w:sz="0" w:space="0" w:color="auto" w:frame="1"/>
        </w:rPr>
        <w:t>, since January 2024.</w:t>
      </w:r>
      <w:r>
        <w:rPr>
          <w:rStyle w:val="Strong"/>
          <w:rFonts w:asciiTheme="minorHAnsi" w:hAnsiTheme="minorHAnsi" w:cstheme="minorHAnsi"/>
          <w:b w:val="0"/>
          <w:sz w:val="22"/>
          <w:szCs w:val="22"/>
          <w:bdr w:val="none" w:sz="0" w:space="0" w:color="auto" w:frame="1"/>
        </w:rPr>
        <w:t xml:space="preserve">  </w:t>
      </w:r>
    </w:p>
    <w:p w:rsidR="0047132D" w:rsidRDefault="0047132D" w:rsidP="0047132D">
      <w:pPr>
        <w:pStyle w:val="NormalWeb"/>
        <w:shd w:val="clear" w:color="auto" w:fill="FFFFFF"/>
        <w:spacing w:before="0" w:beforeAutospacing="0" w:after="0" w:afterAutospacing="0"/>
        <w:ind w:firstLine="360"/>
        <w:textAlignment w:val="baseline"/>
        <w:rPr>
          <w:rStyle w:val="Strong"/>
          <w:rFonts w:asciiTheme="minorHAnsi" w:hAnsiTheme="minorHAnsi" w:cstheme="minorHAnsi"/>
          <w:b w:val="0"/>
          <w:sz w:val="22"/>
          <w:szCs w:val="22"/>
          <w:bdr w:val="none" w:sz="0" w:space="0" w:color="auto" w:frame="1"/>
        </w:rPr>
      </w:pPr>
    </w:p>
    <w:p w:rsidR="0047132D" w:rsidRPr="005961B4" w:rsidRDefault="0047132D" w:rsidP="0047132D">
      <w:pPr>
        <w:pStyle w:val="NormalWeb"/>
        <w:shd w:val="clear" w:color="auto" w:fill="FFFFFF"/>
        <w:spacing w:before="0" w:beforeAutospacing="0" w:after="0" w:afterAutospacing="0"/>
        <w:ind w:firstLine="360"/>
        <w:textAlignment w:val="baseline"/>
        <w:rPr>
          <w:rStyle w:val="Strong"/>
          <w:rFonts w:asciiTheme="minorHAnsi" w:hAnsiTheme="minorHAnsi" w:cstheme="minorHAnsi"/>
          <w:sz w:val="22"/>
          <w:szCs w:val="22"/>
          <w:bdr w:val="none" w:sz="0" w:space="0" w:color="auto" w:frame="1"/>
        </w:rPr>
      </w:pPr>
      <w:r>
        <w:rPr>
          <w:rStyle w:val="Strong"/>
          <w:rFonts w:asciiTheme="minorHAnsi" w:hAnsiTheme="minorHAnsi" w:cstheme="minorHAnsi"/>
          <w:b w:val="0"/>
          <w:sz w:val="22"/>
          <w:szCs w:val="22"/>
          <w:bdr w:val="none" w:sz="0" w:space="0" w:color="auto" w:frame="1"/>
        </w:rPr>
        <w:t xml:space="preserve">Do you think FAQ #4 is truthful? </w:t>
      </w:r>
      <w:proofErr w:type="gramStart"/>
      <w:r>
        <w:rPr>
          <w:rStyle w:val="Strong"/>
          <w:rFonts w:asciiTheme="minorHAnsi" w:hAnsiTheme="minorHAnsi" w:cstheme="minorHAnsi"/>
          <w:b w:val="0"/>
          <w:sz w:val="22"/>
          <w:szCs w:val="22"/>
          <w:bdr w:val="none" w:sz="0" w:space="0" w:color="auto" w:frame="1"/>
        </w:rPr>
        <w:t>Or misleading and a sham?</w:t>
      </w:r>
      <w:proofErr w:type="gramEnd"/>
    </w:p>
    <w:p w:rsidR="005961B4" w:rsidRPr="005961B4" w:rsidRDefault="005961B4" w:rsidP="00583FC1">
      <w:pPr>
        <w:pStyle w:val="NormalWeb"/>
        <w:shd w:val="clear" w:color="auto" w:fill="FFFFFF"/>
        <w:spacing w:before="0" w:beforeAutospacing="0" w:after="0" w:afterAutospacing="0"/>
        <w:textAlignment w:val="baseline"/>
        <w:rPr>
          <w:rStyle w:val="Strong"/>
          <w:rFonts w:asciiTheme="minorHAnsi" w:hAnsiTheme="minorHAnsi" w:cstheme="minorHAnsi"/>
          <w:sz w:val="22"/>
          <w:szCs w:val="22"/>
          <w:bdr w:val="none" w:sz="0" w:space="0" w:color="auto" w:frame="1"/>
        </w:rPr>
      </w:pPr>
    </w:p>
    <w:p w:rsidR="00583FC1" w:rsidRDefault="00583FC1" w:rsidP="00583FC1">
      <w:pPr>
        <w:pStyle w:val="NormalWeb"/>
        <w:shd w:val="clear" w:color="auto" w:fill="FFFFFF"/>
        <w:spacing w:before="0" w:beforeAutospacing="0" w:after="0" w:afterAutospacing="0"/>
        <w:textAlignment w:val="baseline"/>
        <w:rPr>
          <w:rFonts w:ascii="Arial" w:hAnsi="Arial" w:cs="Arial"/>
          <w:color w:val="224466"/>
          <w:sz w:val="21"/>
          <w:szCs w:val="21"/>
        </w:rPr>
      </w:pPr>
      <w:r>
        <w:rPr>
          <w:rStyle w:val="Strong"/>
          <w:rFonts w:ascii="Arial" w:hAnsi="Arial" w:cs="Arial"/>
          <w:color w:val="224466"/>
          <w:sz w:val="21"/>
          <w:szCs w:val="21"/>
          <w:bdr w:val="none" w:sz="0" w:space="0" w:color="auto" w:frame="1"/>
        </w:rPr>
        <w:t>5. Are the recommendations designed to keep secrets?</w:t>
      </w:r>
    </w:p>
    <w:p w:rsidR="00583FC1" w:rsidRDefault="00583FC1" w:rsidP="00583FC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There are no additional requirements, and nothing added, based on current Governing Documents (By-Laws, Articles of Incorporation, and Rules and Regulations) and the Director Workbook.  Board confidentiality is required by State Statute and common corporate practice in areas of strategic/tactical planning and in cases of human relations (HR) issues.</w:t>
      </w:r>
    </w:p>
    <w:p w:rsidR="0047132D" w:rsidRDefault="0047132D" w:rsidP="00C06E64">
      <w:pPr>
        <w:pStyle w:val="NormalWeb"/>
        <w:shd w:val="clear" w:color="auto" w:fill="FFFFFF"/>
        <w:spacing w:before="0" w:beforeAutospacing="0" w:after="0" w:afterAutospacing="0"/>
        <w:textAlignment w:val="baseline"/>
        <w:rPr>
          <w:rStyle w:val="Strong"/>
          <w:rFonts w:asciiTheme="minorHAnsi" w:hAnsiTheme="minorHAnsi" w:cstheme="minorHAnsi"/>
          <w:sz w:val="22"/>
          <w:szCs w:val="22"/>
          <w:bdr w:val="none" w:sz="0" w:space="0" w:color="auto" w:frame="1"/>
        </w:rPr>
      </w:pPr>
      <w:r w:rsidRPr="005961B4">
        <w:rPr>
          <w:rStyle w:val="Strong"/>
          <w:rFonts w:asciiTheme="minorHAnsi" w:hAnsiTheme="minorHAnsi" w:cstheme="minorHAnsi"/>
          <w:sz w:val="22"/>
          <w:szCs w:val="22"/>
          <w:bdr w:val="none" w:sz="0" w:space="0" w:color="auto" w:frame="1"/>
        </w:rPr>
        <w:t>Comment</w:t>
      </w:r>
      <w:r>
        <w:rPr>
          <w:rStyle w:val="Strong"/>
          <w:rFonts w:asciiTheme="minorHAnsi" w:hAnsiTheme="minorHAnsi" w:cstheme="minorHAnsi"/>
          <w:sz w:val="22"/>
          <w:szCs w:val="22"/>
          <w:bdr w:val="none" w:sz="0" w:space="0" w:color="auto" w:frame="1"/>
        </w:rPr>
        <w:t>s</w:t>
      </w:r>
      <w:r w:rsidRPr="005961B4">
        <w:rPr>
          <w:rStyle w:val="Strong"/>
          <w:rFonts w:asciiTheme="minorHAnsi" w:hAnsiTheme="minorHAnsi" w:cstheme="minorHAnsi"/>
          <w:sz w:val="22"/>
          <w:szCs w:val="22"/>
          <w:bdr w:val="none" w:sz="0" w:space="0" w:color="auto" w:frame="1"/>
        </w:rPr>
        <w:t>:</w:t>
      </w:r>
    </w:p>
    <w:p w:rsidR="0047132D" w:rsidRDefault="0047132D" w:rsidP="00C06E64">
      <w:pPr>
        <w:pStyle w:val="ListParagraph"/>
        <w:numPr>
          <w:ilvl w:val="0"/>
          <w:numId w:val="2"/>
        </w:numPr>
        <w:ind w:left="720"/>
      </w:pPr>
      <w:r>
        <w:t xml:space="preserve">“There [is] nothing added.” Oh? Please show me where permanent banishment previously appeared. If you can, I’ll admit error. </w:t>
      </w:r>
    </w:p>
    <w:p w:rsidR="0047132D" w:rsidRDefault="0047132D" w:rsidP="00C06E64">
      <w:pPr>
        <w:pStyle w:val="ListParagraph"/>
        <w:numPr>
          <w:ilvl w:val="0"/>
          <w:numId w:val="2"/>
        </w:numPr>
        <w:ind w:left="720"/>
      </w:pPr>
      <w:r>
        <w:t>“There [is] nothing added.” Oh? Please show me where the third-party, and the ability to overrule the third party, is located in the current Governing Documents.</w:t>
      </w:r>
    </w:p>
    <w:p w:rsidR="0047132D" w:rsidRDefault="0047132D" w:rsidP="00C06E64">
      <w:pPr>
        <w:pStyle w:val="ListParagraph"/>
        <w:numPr>
          <w:ilvl w:val="0"/>
          <w:numId w:val="2"/>
        </w:numPr>
        <w:ind w:left="720"/>
      </w:pPr>
      <w:r>
        <w:t>“Confidentiality is required by State Statute.” Oh?</w:t>
      </w:r>
      <w:r w:rsidR="00377E18">
        <w:t xml:space="preserve"> I urge the reader to use the words “confidential” or “disclosure” and search </w:t>
      </w:r>
      <w:hyperlink r:id="rId11" w:history="1">
        <w:r w:rsidR="00377E18" w:rsidRPr="00212FB8">
          <w:rPr>
            <w:rStyle w:val="Hyperlink"/>
          </w:rPr>
          <w:t>https://www.cga.ct.gov/2021/pub/chap_602.htm</w:t>
        </w:r>
      </w:hyperlink>
      <w:r w:rsidR="00377E18">
        <w:t>. See if you can find what I do not find.</w:t>
      </w:r>
    </w:p>
    <w:p w:rsidR="004D5337" w:rsidRPr="004D5337" w:rsidRDefault="00377E18" w:rsidP="004D5337">
      <w:pPr>
        <w:ind w:firstLine="360"/>
        <w:rPr>
          <w:rStyle w:val="catchln"/>
          <w:b/>
          <w:bCs/>
          <w:color w:val="8B0000"/>
          <w:shd w:val="clear" w:color="auto" w:fill="FFFFFF"/>
        </w:rPr>
      </w:pPr>
      <w:r>
        <w:t xml:space="preserve">What I do find is </w:t>
      </w:r>
      <w:r w:rsidRPr="004D5337">
        <w:rPr>
          <w:rStyle w:val="catchln"/>
          <w:b/>
          <w:bCs/>
          <w:color w:val="8B0000"/>
          <w:shd w:val="clear" w:color="auto" w:fill="FFFFFF"/>
        </w:rPr>
        <w:t xml:space="preserve">Sec. 33-1239. </w:t>
      </w:r>
      <w:proofErr w:type="gramStart"/>
      <w:r w:rsidRPr="004D5337">
        <w:rPr>
          <w:rStyle w:val="catchln"/>
          <w:b/>
          <w:bCs/>
          <w:color w:val="8B0000"/>
          <w:shd w:val="clear" w:color="auto" w:fill="FFFFFF"/>
        </w:rPr>
        <w:t>Inspection of records by directors.</w:t>
      </w:r>
      <w:proofErr w:type="gramEnd"/>
    </w:p>
    <w:p w:rsidR="00377E18" w:rsidRDefault="00377E18" w:rsidP="00377E18">
      <w:pPr>
        <w:pStyle w:val="ListParagraph"/>
        <w:ind w:left="1080"/>
        <w:rPr>
          <w:color w:val="000000"/>
          <w:shd w:val="clear" w:color="auto" w:fill="FFFFFF"/>
        </w:rPr>
      </w:pPr>
      <w:r>
        <w:rPr>
          <w:color w:val="000000"/>
          <w:shd w:val="clear" w:color="auto" w:fill="FFFFFF"/>
        </w:rPr>
        <w:t>(a) A director of a corporation is entitled to inspect and copy the books, records and documents of the corporation at any reasonable time to the extent reasonably related to the performance of the director's duties as a director, including duties as a member of a committee, but not for any other purpose or in any manner that would violate any duty to the corporation.</w:t>
      </w:r>
    </w:p>
    <w:p w:rsidR="002E4EF2" w:rsidRDefault="002E4EF2" w:rsidP="00377E18">
      <w:pPr>
        <w:pStyle w:val="ListParagraph"/>
        <w:ind w:left="1080"/>
      </w:pPr>
    </w:p>
    <w:p w:rsidR="00377E18" w:rsidRPr="002E4EF2" w:rsidRDefault="00377E18" w:rsidP="00C06E64">
      <w:pPr>
        <w:pStyle w:val="ListParagraph"/>
        <w:numPr>
          <w:ilvl w:val="0"/>
          <w:numId w:val="2"/>
        </w:numPr>
        <w:ind w:left="720"/>
      </w:pPr>
      <w:r w:rsidRPr="002E4EF2">
        <w:t>So I went looking for “duties to the corporation” by a director. Here’s what I found:</w:t>
      </w:r>
    </w:p>
    <w:p w:rsidR="004D5337" w:rsidRDefault="00377E18" w:rsidP="004D5337">
      <w:pPr>
        <w:pStyle w:val="NormalWeb"/>
        <w:shd w:val="clear" w:color="auto" w:fill="FFFFFF"/>
        <w:spacing w:before="240" w:beforeAutospacing="0" w:after="0" w:afterAutospacing="0"/>
        <w:ind w:left="1080" w:right="720"/>
        <w:jc w:val="both"/>
        <w:rPr>
          <w:rStyle w:val="catchln"/>
          <w:b/>
          <w:bCs/>
          <w:color w:val="8B0000"/>
          <w:sz w:val="22"/>
          <w:szCs w:val="22"/>
        </w:rPr>
      </w:pPr>
      <w:r w:rsidRPr="002E4EF2">
        <w:rPr>
          <w:rStyle w:val="catchln"/>
          <w:b/>
          <w:bCs/>
          <w:color w:val="8B0000"/>
          <w:sz w:val="22"/>
          <w:szCs w:val="22"/>
        </w:rPr>
        <w:t xml:space="preserve">Sec. 33-1104. </w:t>
      </w:r>
      <w:proofErr w:type="gramStart"/>
      <w:r w:rsidRPr="002E4EF2">
        <w:rPr>
          <w:rStyle w:val="catchln"/>
          <w:b/>
          <w:bCs/>
          <w:color w:val="8B0000"/>
          <w:sz w:val="22"/>
          <w:szCs w:val="22"/>
        </w:rPr>
        <w:t>General standards for directors.</w:t>
      </w:r>
      <w:proofErr w:type="gramEnd"/>
    </w:p>
    <w:p w:rsidR="00377E18" w:rsidRPr="002E4EF2" w:rsidRDefault="00377E18" w:rsidP="004D5337">
      <w:pPr>
        <w:pStyle w:val="NormalWeb"/>
        <w:shd w:val="clear" w:color="auto" w:fill="FFFFFF"/>
        <w:spacing w:before="240" w:beforeAutospacing="0" w:after="0" w:afterAutospacing="0"/>
        <w:ind w:left="1080" w:right="720"/>
        <w:jc w:val="both"/>
        <w:rPr>
          <w:color w:val="000000"/>
          <w:sz w:val="22"/>
          <w:szCs w:val="22"/>
        </w:rPr>
      </w:pPr>
      <w:r w:rsidRPr="002E4EF2">
        <w:rPr>
          <w:color w:val="000000"/>
          <w:sz w:val="22"/>
          <w:szCs w:val="22"/>
        </w:rPr>
        <w:t>(a) A director shall discharge his duties as a director, including his duties as a member of a committee: (1) In good faith; (2) with the care an ordinarily prudent person in a like position would exercise under similar circumstances; and (3) in a manner he reasonably believes to be in the best interests of the corporation.</w:t>
      </w:r>
    </w:p>
    <w:p w:rsidR="00377E18" w:rsidRPr="002E4EF2" w:rsidRDefault="00377E18" w:rsidP="004D5337">
      <w:pPr>
        <w:pStyle w:val="NormalWeb"/>
        <w:shd w:val="clear" w:color="auto" w:fill="FFFFFF"/>
        <w:spacing w:before="240" w:beforeAutospacing="0" w:after="0" w:afterAutospacing="0"/>
        <w:ind w:left="1080" w:right="720" w:firstLine="240"/>
        <w:jc w:val="both"/>
        <w:rPr>
          <w:color w:val="000000"/>
          <w:sz w:val="22"/>
          <w:szCs w:val="22"/>
        </w:rPr>
      </w:pPr>
      <w:r w:rsidRPr="002E4EF2">
        <w:rPr>
          <w:color w:val="000000"/>
          <w:sz w:val="22"/>
          <w:szCs w:val="22"/>
        </w:rPr>
        <w:t>. . .</w:t>
      </w:r>
    </w:p>
    <w:p w:rsidR="00377E18" w:rsidRPr="002E4EF2" w:rsidRDefault="00377E18" w:rsidP="004D5337">
      <w:pPr>
        <w:pStyle w:val="NormalWeb"/>
        <w:shd w:val="clear" w:color="auto" w:fill="FFFFFF"/>
        <w:spacing w:before="0" w:beforeAutospacing="0" w:after="0" w:afterAutospacing="0"/>
        <w:ind w:left="1080" w:right="720"/>
        <w:jc w:val="both"/>
        <w:rPr>
          <w:color w:val="000000"/>
          <w:sz w:val="22"/>
          <w:szCs w:val="22"/>
        </w:rPr>
      </w:pPr>
      <w:r w:rsidRPr="002E4EF2">
        <w:rPr>
          <w:color w:val="000000"/>
          <w:sz w:val="22"/>
          <w:szCs w:val="22"/>
        </w:rPr>
        <w:t>(d) A director is not liable for any action taken as a director, or any failure to take any action, if he performed the duties of his office in compliance with this section.</w:t>
      </w:r>
    </w:p>
    <w:p w:rsidR="00377E18" w:rsidRDefault="002E4EF2" w:rsidP="000C69CF">
      <w:pPr>
        <w:spacing w:after="0"/>
        <w:rPr>
          <w:color w:val="FF0000"/>
        </w:rPr>
      </w:pPr>
      <w:r>
        <w:rPr>
          <w:color w:val="FF0000"/>
        </w:rPr>
        <w:tab/>
      </w:r>
    </w:p>
    <w:p w:rsidR="002E4EF2" w:rsidRPr="002E4EF2" w:rsidRDefault="002E4EF2" w:rsidP="004D5337">
      <w:pPr>
        <w:spacing w:after="0"/>
      </w:pPr>
      <w:r w:rsidRPr="002E4EF2">
        <w:t xml:space="preserve">Note: “Good faith” and “care an ordinarily prudent person in a like position would exercise under similar circumstances,” </w:t>
      </w:r>
      <w:r>
        <w:t xml:space="preserve">and “in a manner he reasonably believes to be in the best interests of the corporation,” </w:t>
      </w:r>
      <w:r w:rsidRPr="002E4EF2">
        <w:t xml:space="preserve">while the clear statement of Connecticut law, is </w:t>
      </w:r>
      <w:r w:rsidRPr="00C06E64">
        <w:rPr>
          <w:i/>
        </w:rPr>
        <w:t xml:space="preserve">not good enough for Proposed </w:t>
      </w:r>
      <w:r w:rsidR="007F43FE">
        <w:rPr>
          <w:i/>
        </w:rPr>
        <w:t>By-Law</w:t>
      </w:r>
      <w:r w:rsidRPr="00C06E64">
        <w:rPr>
          <w:i/>
        </w:rPr>
        <w:t xml:space="preserve"> 46</w:t>
      </w:r>
      <w:r w:rsidRPr="002E4EF2">
        <w:t xml:space="preserve"> – which purports to preempt state law.</w:t>
      </w:r>
    </w:p>
    <w:p w:rsidR="002E4EF2" w:rsidRDefault="002E4EF2" w:rsidP="00583FC1">
      <w:pPr>
        <w:pStyle w:val="NormalWeb"/>
        <w:shd w:val="clear" w:color="auto" w:fill="FFFFFF"/>
        <w:spacing w:before="0" w:beforeAutospacing="0" w:after="0" w:afterAutospacing="0"/>
        <w:textAlignment w:val="baseline"/>
        <w:rPr>
          <w:rStyle w:val="Strong"/>
          <w:rFonts w:ascii="Arial" w:hAnsi="Arial" w:cs="Arial"/>
          <w:color w:val="224466"/>
          <w:sz w:val="21"/>
          <w:szCs w:val="21"/>
          <w:bdr w:val="none" w:sz="0" w:space="0" w:color="auto" w:frame="1"/>
        </w:rPr>
      </w:pPr>
    </w:p>
    <w:p w:rsidR="00583FC1" w:rsidRDefault="00583FC1" w:rsidP="00583FC1">
      <w:pPr>
        <w:pStyle w:val="NormalWeb"/>
        <w:shd w:val="clear" w:color="auto" w:fill="FFFFFF"/>
        <w:spacing w:before="0" w:beforeAutospacing="0" w:after="0" w:afterAutospacing="0"/>
        <w:textAlignment w:val="baseline"/>
        <w:rPr>
          <w:rFonts w:ascii="Arial" w:hAnsi="Arial" w:cs="Arial"/>
          <w:color w:val="224466"/>
          <w:sz w:val="21"/>
          <w:szCs w:val="21"/>
        </w:rPr>
      </w:pPr>
      <w:r>
        <w:rPr>
          <w:rStyle w:val="Strong"/>
          <w:rFonts w:ascii="Arial" w:hAnsi="Arial" w:cs="Arial"/>
          <w:color w:val="224466"/>
          <w:sz w:val="21"/>
          <w:szCs w:val="21"/>
          <w:bdr w:val="none" w:sz="0" w:space="0" w:color="auto" w:frame="1"/>
        </w:rPr>
        <w:t>6. Can the Board remove a Director?</w:t>
      </w:r>
    </w:p>
    <w:p w:rsidR="001142C8" w:rsidRDefault="00583FC1" w:rsidP="00583FC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No.</w:t>
      </w:r>
      <w:r w:rsidR="00893AA6">
        <w:rPr>
          <w:rFonts w:ascii="Arial" w:hAnsi="Arial" w:cs="Arial"/>
          <w:color w:val="224466"/>
          <w:sz w:val="21"/>
          <w:szCs w:val="21"/>
        </w:rPr>
        <w:t xml:space="preserve"> . . </w:t>
      </w:r>
      <w:proofErr w:type="gramStart"/>
      <w:r w:rsidR="00893AA6">
        <w:rPr>
          <w:rFonts w:ascii="Arial" w:hAnsi="Arial" w:cs="Arial"/>
          <w:color w:val="224466"/>
          <w:sz w:val="21"/>
          <w:szCs w:val="21"/>
        </w:rPr>
        <w:t>.</w:t>
      </w:r>
      <w:r w:rsidR="001142C8">
        <w:rPr>
          <w:rFonts w:ascii="Arial" w:hAnsi="Arial" w:cs="Arial"/>
          <w:color w:val="224466"/>
          <w:sz w:val="21"/>
          <w:szCs w:val="21"/>
          <w:shd w:val="clear" w:color="auto" w:fill="FFFFFF"/>
        </w:rPr>
        <w:t>ARRL</w:t>
      </w:r>
      <w:proofErr w:type="gramEnd"/>
      <w:r w:rsidR="001142C8">
        <w:rPr>
          <w:rFonts w:ascii="Arial" w:hAnsi="Arial" w:cs="Arial"/>
          <w:color w:val="224466"/>
          <w:sz w:val="21"/>
          <w:szCs w:val="21"/>
          <w:shd w:val="clear" w:color="auto" w:fill="FFFFFF"/>
        </w:rPr>
        <w:t xml:space="preserve"> Connecticut Counsel has determined that a finding of ineligibility is not removal.  Ineligibility results from an action a Director takes to render </w:t>
      </w:r>
      <w:proofErr w:type="gramStart"/>
      <w:r w:rsidR="001142C8">
        <w:rPr>
          <w:rFonts w:ascii="Arial" w:hAnsi="Arial" w:cs="Arial"/>
          <w:color w:val="224466"/>
          <w:sz w:val="21"/>
          <w:szCs w:val="21"/>
          <w:shd w:val="clear" w:color="auto" w:fill="FFFFFF"/>
        </w:rPr>
        <w:t>themselves</w:t>
      </w:r>
      <w:proofErr w:type="gramEnd"/>
      <w:r w:rsidR="001142C8">
        <w:rPr>
          <w:rFonts w:ascii="Arial" w:hAnsi="Arial" w:cs="Arial"/>
          <w:color w:val="224466"/>
          <w:sz w:val="21"/>
          <w:szCs w:val="21"/>
          <w:shd w:val="clear" w:color="auto" w:fill="FFFFFF"/>
        </w:rPr>
        <w:t xml:space="preserve"> ineligible to serve or continue to serve as a Director.  The Office of the Connecticut State Attorney General has indicated to ARRL Connecticut Counsel that it would be extremely unlikely to initiate an investigation or pursue litigation regarding the legality of this provision under its ultra vires (violation of an organization’s authority) policing authority.  But a finding of ineligibility, as explained in the proposed By-Law 46, is very hard to affirm.  The process involves a neutral independent Third Party and a super-majority 2/3 vote of the Board.</w:t>
      </w:r>
    </w:p>
    <w:p w:rsidR="00377E18" w:rsidRPr="00C06E64" w:rsidRDefault="00377E18" w:rsidP="00583FC1">
      <w:pPr>
        <w:rPr>
          <w:b/>
        </w:rPr>
      </w:pPr>
      <w:r w:rsidRPr="00C06E64">
        <w:rPr>
          <w:b/>
        </w:rPr>
        <w:t>Comment</w:t>
      </w:r>
      <w:r w:rsidR="00C06E64">
        <w:rPr>
          <w:b/>
        </w:rPr>
        <w:t>s</w:t>
      </w:r>
      <w:r w:rsidRPr="00C06E64">
        <w:rPr>
          <w:b/>
        </w:rPr>
        <w:t>:</w:t>
      </w:r>
    </w:p>
    <w:p w:rsidR="009B3E48" w:rsidRDefault="00377E18" w:rsidP="00C06E64">
      <w:pPr>
        <w:pStyle w:val="ydp96ef9228yiv6231379933ydpc84ecee7yiv9554363629msonormal"/>
        <w:spacing w:before="0" w:beforeAutospacing="0"/>
        <w:ind w:firstLine="360"/>
        <w:rPr>
          <w:rFonts w:asciiTheme="minorHAnsi" w:hAnsiTheme="minorHAnsi" w:cstheme="minorHAnsi"/>
          <w:sz w:val="22"/>
          <w:szCs w:val="22"/>
        </w:rPr>
      </w:pPr>
      <w:r w:rsidRPr="009B3E48">
        <w:rPr>
          <w:rFonts w:asciiTheme="minorHAnsi" w:hAnsiTheme="minorHAnsi" w:cstheme="minorHAnsi"/>
          <w:sz w:val="22"/>
          <w:szCs w:val="22"/>
        </w:rPr>
        <w:t xml:space="preserve">How do you square that “No” with Proposed </w:t>
      </w:r>
      <w:r w:rsidR="007F43FE">
        <w:rPr>
          <w:rFonts w:asciiTheme="minorHAnsi" w:hAnsiTheme="minorHAnsi" w:cstheme="minorHAnsi"/>
          <w:sz w:val="22"/>
          <w:szCs w:val="22"/>
        </w:rPr>
        <w:t>By-Law</w:t>
      </w:r>
      <w:r w:rsidRPr="009B3E48">
        <w:rPr>
          <w:rFonts w:asciiTheme="minorHAnsi" w:hAnsiTheme="minorHAnsi" w:cstheme="minorHAnsi"/>
          <w:sz w:val="22"/>
          <w:szCs w:val="22"/>
        </w:rPr>
        <w:t xml:space="preserve"> 46</w:t>
      </w:r>
      <w:r w:rsidR="002E4EF2" w:rsidRPr="009B3E48">
        <w:rPr>
          <w:rFonts w:asciiTheme="minorHAnsi" w:hAnsiTheme="minorHAnsi" w:cstheme="minorHAnsi"/>
          <w:sz w:val="22"/>
          <w:szCs w:val="22"/>
        </w:rPr>
        <w:t>(f) which requires that</w:t>
      </w:r>
      <w:r w:rsidR="00F90A39" w:rsidRPr="009B3E48">
        <w:rPr>
          <w:rFonts w:asciiTheme="minorHAnsi" w:hAnsiTheme="minorHAnsi" w:cstheme="minorHAnsi"/>
          <w:sz w:val="22"/>
          <w:szCs w:val="22"/>
        </w:rPr>
        <w:t xml:space="preserve">, upon a Board vote, </w:t>
      </w:r>
      <w:r w:rsidR="002E4EF2" w:rsidRPr="009B3E48">
        <w:rPr>
          <w:rFonts w:asciiTheme="minorHAnsi" w:hAnsiTheme="minorHAnsi" w:cstheme="minorHAnsi"/>
          <w:sz w:val="22"/>
          <w:szCs w:val="22"/>
        </w:rPr>
        <w:t xml:space="preserve">the Board Member </w:t>
      </w:r>
      <w:r w:rsidR="009B3E48" w:rsidRPr="009B3E48">
        <w:rPr>
          <w:rFonts w:asciiTheme="minorHAnsi" w:hAnsiTheme="minorHAnsi" w:cstheme="minorHAnsi"/>
          <w:sz w:val="22"/>
          <w:szCs w:val="22"/>
        </w:rPr>
        <w:t xml:space="preserve">"determined to be ineligible ... shall immediately vacate their Board position" and "the vacant Board position will then be filled as provided in these By-Laws and the Articles of Association." </w:t>
      </w:r>
      <w:r w:rsidR="009B3E48">
        <w:rPr>
          <w:rFonts w:asciiTheme="minorHAnsi" w:hAnsiTheme="minorHAnsi" w:cstheme="minorHAnsi"/>
          <w:sz w:val="22"/>
          <w:szCs w:val="22"/>
        </w:rPr>
        <w:t>Yet “</w:t>
      </w:r>
      <w:r w:rsidR="009B3E48" w:rsidRPr="009B3E48">
        <w:rPr>
          <w:rFonts w:asciiTheme="minorHAnsi" w:hAnsiTheme="minorHAnsi" w:cstheme="minorHAnsi"/>
          <w:sz w:val="22"/>
          <w:szCs w:val="22"/>
        </w:rPr>
        <w:t>the League's counsel has opined "a finding of ineligibility is not removal."</w:t>
      </w:r>
      <w:r w:rsidR="009B3E48">
        <w:rPr>
          <w:rFonts w:asciiTheme="minorHAnsi" w:hAnsiTheme="minorHAnsi" w:cstheme="minorHAnsi"/>
          <w:sz w:val="22"/>
          <w:szCs w:val="22"/>
        </w:rPr>
        <w:t xml:space="preserve">” </w:t>
      </w:r>
    </w:p>
    <w:p w:rsidR="009B3E48" w:rsidRPr="009B3E48" w:rsidRDefault="009B3E48" w:rsidP="009B3E48">
      <w:pPr>
        <w:pStyle w:val="ydp96ef9228yiv6231379933ydpc84ecee7yiv9554363629msonormal"/>
        <w:ind w:firstLine="360"/>
        <w:rPr>
          <w:rFonts w:asciiTheme="minorHAnsi" w:hAnsiTheme="minorHAnsi" w:cstheme="minorHAnsi"/>
          <w:sz w:val="22"/>
          <w:szCs w:val="22"/>
        </w:rPr>
      </w:pPr>
      <w:r w:rsidRPr="009B3E48">
        <w:rPr>
          <w:rFonts w:asciiTheme="minorHAnsi" w:hAnsiTheme="minorHAnsi" w:cstheme="minorHAnsi"/>
          <w:sz w:val="22"/>
          <w:szCs w:val="22"/>
        </w:rPr>
        <w:t xml:space="preserve">Who are you going to believe? Me or </w:t>
      </w:r>
      <w:proofErr w:type="gramStart"/>
      <w:r w:rsidRPr="009B3E48">
        <w:rPr>
          <w:rFonts w:asciiTheme="minorHAnsi" w:hAnsiTheme="minorHAnsi" w:cstheme="minorHAnsi"/>
          <w:sz w:val="22"/>
          <w:szCs w:val="22"/>
        </w:rPr>
        <w:t>your</w:t>
      </w:r>
      <w:proofErr w:type="gramEnd"/>
      <w:r w:rsidRPr="009B3E48">
        <w:rPr>
          <w:rFonts w:asciiTheme="minorHAnsi" w:hAnsiTheme="minorHAnsi" w:cstheme="minorHAnsi"/>
          <w:sz w:val="22"/>
          <w:szCs w:val="22"/>
        </w:rPr>
        <w:t xml:space="preserve"> lying eyes?</w:t>
      </w:r>
    </w:p>
    <w:p w:rsidR="009B3E48" w:rsidRDefault="009B3E48" w:rsidP="009B3E48">
      <w:pPr>
        <w:ind w:firstLine="360"/>
      </w:pPr>
      <w:r>
        <w:t>Let’s skip over the English language problem in 46(f) that “the Board member” is a “they.”</w:t>
      </w:r>
    </w:p>
    <w:p w:rsidR="001142C8" w:rsidRPr="001142C8" w:rsidRDefault="001142C8" w:rsidP="009B3E48">
      <w:pPr>
        <w:ind w:firstLine="360"/>
        <w:rPr>
          <w:rFonts w:cstheme="minorHAnsi"/>
          <w:color w:val="26282A"/>
        </w:rPr>
      </w:pPr>
      <w:r w:rsidRPr="009B3E48">
        <w:rPr>
          <w:rFonts w:cstheme="minorHAnsi"/>
        </w:rPr>
        <w:t>The Committee’s response is</w:t>
      </w:r>
      <w:r w:rsidR="009B3E48">
        <w:rPr>
          <w:rFonts w:cstheme="minorHAnsi"/>
        </w:rPr>
        <w:t xml:space="preserve">, apparently, the equivalent of: “Well, I have a buddy in the AG’s </w:t>
      </w:r>
      <w:proofErr w:type="gramStart"/>
      <w:r w:rsidR="009B3E48">
        <w:rPr>
          <w:rFonts w:cstheme="minorHAnsi"/>
        </w:rPr>
        <w:t>office,</w:t>
      </w:r>
      <w:proofErr w:type="gramEnd"/>
      <w:r w:rsidR="009B3E48">
        <w:rPr>
          <w:rFonts w:cstheme="minorHAnsi"/>
        </w:rPr>
        <w:t xml:space="preserve"> and, over the phone one day, </w:t>
      </w:r>
      <w:r w:rsidR="007C7AAD">
        <w:rPr>
          <w:rFonts w:cstheme="minorHAnsi"/>
        </w:rPr>
        <w:t>though</w:t>
      </w:r>
      <w:r w:rsidR="009B3E48">
        <w:rPr>
          <w:rFonts w:cstheme="minorHAnsi"/>
        </w:rPr>
        <w:t xml:space="preserve"> I </w:t>
      </w:r>
      <w:r w:rsidR="007C7AAD">
        <w:rPr>
          <w:rFonts w:cstheme="minorHAnsi"/>
        </w:rPr>
        <w:t xml:space="preserve">may not have told </w:t>
      </w:r>
      <w:r w:rsidR="009B3E48">
        <w:rPr>
          <w:rFonts w:cstheme="minorHAnsi"/>
        </w:rPr>
        <w:t xml:space="preserve">him all of the relevant facts, he told me “it would be extremely unlikely to . . . pursue litigation regarding the legality of this provision under its ultra vires . . . policing authority.” </w:t>
      </w:r>
      <w:r w:rsidR="007C7AAD">
        <w:rPr>
          <w:rFonts w:cstheme="minorHAnsi"/>
        </w:rPr>
        <w:t>Trying to understand that response</w:t>
      </w:r>
      <w:r w:rsidR="009B3E48">
        <w:rPr>
          <w:rFonts w:cstheme="minorHAnsi"/>
        </w:rPr>
        <w:t xml:space="preserve">, doesn’t this say something like (1) the AG’s office is too lazy to get involved, or (2) the ARRL is too inconsequential for the AG to care? </w:t>
      </w:r>
      <w:r w:rsidRPr="009B3E48">
        <w:rPr>
          <w:rFonts w:cstheme="minorHAnsi"/>
        </w:rPr>
        <w:t xml:space="preserve">  </w:t>
      </w:r>
    </w:p>
    <w:p w:rsidR="007C7AAD" w:rsidRDefault="007C7AAD" w:rsidP="007C7AAD">
      <w:pPr>
        <w:ind w:firstLine="360"/>
        <w:rPr>
          <w:iCs/>
        </w:rPr>
      </w:pPr>
      <w:r>
        <w:rPr>
          <w:rFonts w:cstheme="minorHAnsi"/>
          <w:color w:val="26282A"/>
        </w:rPr>
        <w:t xml:space="preserve">But that’s just the AG. The FAQ implies that failure of the AG to act “under its </w:t>
      </w:r>
      <w:r w:rsidRPr="00C06E64">
        <w:rPr>
          <w:rFonts w:cstheme="minorHAnsi"/>
          <w:i/>
          <w:color w:val="26282A"/>
        </w:rPr>
        <w:t>ultra vires</w:t>
      </w:r>
      <w:r>
        <w:rPr>
          <w:rFonts w:cstheme="minorHAnsi"/>
          <w:color w:val="26282A"/>
        </w:rPr>
        <w:t xml:space="preserve">  . . . policing authority” ends the matter. It doesn’t. Why? Because even if the AG steps aside, the removal by a requirement to vacate would still be </w:t>
      </w:r>
      <w:r>
        <w:rPr>
          <w:iCs/>
        </w:rPr>
        <w:t>subject to a lawsuit filed by “</w:t>
      </w:r>
      <w:r>
        <w:rPr>
          <w:color w:val="000000"/>
          <w:shd w:val="clear" w:color="auto" w:fill="FFFFFF"/>
        </w:rPr>
        <w:t>by a member or director”</w:t>
      </w:r>
      <w:r w:rsidR="00FD7A46">
        <w:rPr>
          <w:color w:val="000000"/>
          <w:shd w:val="clear" w:color="auto" w:fill="FFFFFF"/>
        </w:rPr>
        <w:t xml:space="preserve"> – that’s </w:t>
      </w:r>
      <w:r>
        <w:rPr>
          <w:iCs/>
        </w:rPr>
        <w:t>any member</w:t>
      </w:r>
      <w:r w:rsidR="00FD7A46">
        <w:rPr>
          <w:iCs/>
        </w:rPr>
        <w:t xml:space="preserve"> – ANY MEMBER</w:t>
      </w:r>
      <w:r>
        <w:rPr>
          <w:iCs/>
        </w:rPr>
        <w:t xml:space="preserve">, or </w:t>
      </w:r>
      <w:r w:rsidR="00FD7A46">
        <w:rPr>
          <w:iCs/>
        </w:rPr>
        <w:t>ANY DIRECTOR –</w:t>
      </w:r>
      <w:r>
        <w:rPr>
          <w:iCs/>
        </w:rPr>
        <w:t xml:space="preserve"> not just the one removed). C.G.S. </w:t>
      </w:r>
      <w:r>
        <w:rPr>
          <w:rFonts w:ascii="Times New Roman" w:hAnsi="Times New Roman" w:cs="Times New Roman"/>
          <w:iCs/>
        </w:rPr>
        <w:t>§</w:t>
      </w:r>
      <w:r>
        <w:rPr>
          <w:iCs/>
        </w:rPr>
        <w:t xml:space="preserve"> 33-1038.</w:t>
      </w:r>
      <w:r w:rsidR="00FD7A46">
        <w:rPr>
          <w:iCs/>
        </w:rPr>
        <w:t xml:space="preserve"> But why would a member or Director sue when the AG has stepped aside? See </w:t>
      </w:r>
      <w:r w:rsidR="00FD7A46">
        <w:rPr>
          <w:rFonts w:ascii="Times New Roman" w:hAnsi="Times New Roman" w:cs="Times New Roman"/>
          <w:iCs/>
        </w:rPr>
        <w:t>§</w:t>
      </w:r>
      <w:r w:rsidR="00FD7A46">
        <w:rPr>
          <w:iCs/>
        </w:rPr>
        <w:t xml:space="preserve"> 33-1038 (c):</w:t>
      </w:r>
    </w:p>
    <w:p w:rsidR="00FD7A46" w:rsidRPr="00C06E64" w:rsidRDefault="00FD7A46" w:rsidP="004D5337">
      <w:pPr>
        <w:ind w:left="1080" w:right="720"/>
        <w:rPr>
          <w:rFonts w:ascii="Times New Roman" w:hAnsi="Times New Roman" w:cs="Times New Roman"/>
          <w:iCs/>
        </w:rPr>
      </w:pPr>
      <w:r w:rsidRPr="00C06E64">
        <w:rPr>
          <w:rFonts w:ascii="Times New Roman" w:hAnsi="Times New Roman" w:cs="Times New Roman"/>
          <w:color w:val="000000"/>
          <w:shd w:val="clear" w:color="auto" w:fill="FFFFFF"/>
        </w:rPr>
        <w:t xml:space="preserve">(c) In a member's or director's proceeding under subdivision (1) of subsection (b) of this section to enjoin an unauthorized corporate act, </w:t>
      </w:r>
      <w:r w:rsidRPr="00C06E64">
        <w:rPr>
          <w:rFonts w:ascii="Times New Roman" w:hAnsi="Times New Roman" w:cs="Times New Roman"/>
          <w:b/>
          <w:color w:val="000000"/>
          <w:shd w:val="clear" w:color="auto" w:fill="FFFFFF"/>
        </w:rPr>
        <w:t>the court</w:t>
      </w:r>
      <w:r w:rsidRPr="00C06E64">
        <w:rPr>
          <w:rFonts w:ascii="Times New Roman" w:hAnsi="Times New Roman" w:cs="Times New Roman"/>
          <w:color w:val="000000"/>
          <w:shd w:val="clear" w:color="auto" w:fill="FFFFFF"/>
        </w:rPr>
        <w:t xml:space="preserve"> may enjoin or set aside the act, if equitable and if all affected persons are parties to the proceeding, and </w:t>
      </w:r>
      <w:r w:rsidRPr="00C06E64">
        <w:rPr>
          <w:rFonts w:ascii="Times New Roman" w:hAnsi="Times New Roman" w:cs="Times New Roman"/>
          <w:b/>
          <w:color w:val="000000"/>
          <w:shd w:val="clear" w:color="auto" w:fill="FFFFFF"/>
        </w:rPr>
        <w:t>may award damages for loss</w:t>
      </w:r>
      <w:r w:rsidRPr="00C06E64">
        <w:rPr>
          <w:rFonts w:ascii="Times New Roman" w:hAnsi="Times New Roman" w:cs="Times New Roman"/>
          <w:color w:val="000000"/>
          <w:shd w:val="clear" w:color="auto" w:fill="FFFFFF"/>
        </w:rPr>
        <w:t xml:space="preserve">, other than anticipated profits, </w:t>
      </w:r>
      <w:r w:rsidRPr="00C06E64">
        <w:rPr>
          <w:rFonts w:ascii="Times New Roman" w:hAnsi="Times New Roman" w:cs="Times New Roman"/>
          <w:b/>
          <w:color w:val="000000"/>
          <w:shd w:val="clear" w:color="auto" w:fill="FFFFFF"/>
        </w:rPr>
        <w:t>suffered by</w:t>
      </w:r>
      <w:r w:rsidRPr="00C06E64">
        <w:rPr>
          <w:rFonts w:ascii="Times New Roman" w:hAnsi="Times New Roman" w:cs="Times New Roman"/>
          <w:color w:val="000000"/>
          <w:shd w:val="clear" w:color="auto" w:fill="FFFFFF"/>
        </w:rPr>
        <w:t xml:space="preserve"> the corporation or another </w:t>
      </w:r>
      <w:r w:rsidRPr="00C06E64">
        <w:rPr>
          <w:rFonts w:ascii="Times New Roman" w:hAnsi="Times New Roman" w:cs="Times New Roman"/>
          <w:b/>
          <w:color w:val="000000"/>
          <w:shd w:val="clear" w:color="auto" w:fill="FFFFFF"/>
        </w:rPr>
        <w:t xml:space="preserve">party </w:t>
      </w:r>
      <w:r w:rsidRPr="00C06E64">
        <w:rPr>
          <w:rFonts w:ascii="Times New Roman" w:hAnsi="Times New Roman" w:cs="Times New Roman"/>
          <w:color w:val="000000"/>
          <w:shd w:val="clear" w:color="auto" w:fill="FFFFFF"/>
        </w:rPr>
        <w:t xml:space="preserve">because of the enjoining of the unauthorized act. </w:t>
      </w:r>
      <w:r w:rsidRPr="00C06E64">
        <w:rPr>
          <w:rFonts w:ascii="Times New Roman" w:hAnsi="Times New Roman" w:cs="Times New Roman"/>
          <w:i/>
          <w:color w:val="000000"/>
          <w:shd w:val="clear" w:color="auto" w:fill="FFFFFF"/>
        </w:rPr>
        <w:t>[Emphasis added.]</w:t>
      </w:r>
    </w:p>
    <w:p w:rsidR="00FD7A46" w:rsidRDefault="00FD7A46" w:rsidP="007C7AAD">
      <w:pPr>
        <w:ind w:firstLine="360"/>
        <w:rPr>
          <w:iCs/>
        </w:rPr>
      </w:pPr>
      <w:r>
        <w:rPr>
          <w:iCs/>
        </w:rPr>
        <w:t xml:space="preserve">In other words, though the AG might not act, someone in the Plaintiff’s bar might take the case on contingency (for a share of the damages). </w:t>
      </w:r>
      <w:r w:rsidRPr="004D5337">
        <w:rPr>
          <w:i/>
          <w:iCs/>
        </w:rPr>
        <w:t>But the FAQ doesn’t tell you that.</w:t>
      </w:r>
    </w:p>
    <w:p w:rsidR="001142C8" w:rsidRPr="00214C39" w:rsidRDefault="00FD7A46" w:rsidP="009B3E48">
      <w:pPr>
        <w:pStyle w:val="ydp96ef9228yiv6231379933ydpc84ecee7yiv9554363629msonormal"/>
        <w:ind w:firstLine="360"/>
        <w:rPr>
          <w:rFonts w:asciiTheme="minorHAnsi" w:hAnsiTheme="minorHAnsi" w:cstheme="minorHAnsi"/>
          <w:i/>
          <w:color w:val="26282A"/>
          <w:sz w:val="22"/>
          <w:szCs w:val="22"/>
        </w:rPr>
      </w:pPr>
      <w:r>
        <w:rPr>
          <w:rFonts w:asciiTheme="minorHAnsi" w:hAnsiTheme="minorHAnsi" w:cstheme="minorHAnsi"/>
          <w:color w:val="26282A"/>
          <w:sz w:val="22"/>
          <w:szCs w:val="22"/>
        </w:rPr>
        <w:t>The FAQ says that “a finding of ineligibility is not removal.” But h</w:t>
      </w:r>
      <w:r w:rsidRPr="001142C8">
        <w:rPr>
          <w:rFonts w:asciiTheme="minorHAnsi" w:hAnsiTheme="minorHAnsi" w:cstheme="minorHAnsi"/>
          <w:color w:val="26282A"/>
          <w:sz w:val="22"/>
          <w:szCs w:val="22"/>
        </w:rPr>
        <w:t xml:space="preserve">ow is </w:t>
      </w:r>
      <w:r>
        <w:rPr>
          <w:rFonts w:asciiTheme="minorHAnsi" w:hAnsiTheme="minorHAnsi" w:cstheme="minorHAnsi"/>
          <w:color w:val="26282A"/>
          <w:sz w:val="22"/>
          <w:szCs w:val="22"/>
        </w:rPr>
        <w:t xml:space="preserve">a </w:t>
      </w:r>
      <w:r w:rsidR="00214C39">
        <w:rPr>
          <w:rFonts w:asciiTheme="minorHAnsi" w:hAnsiTheme="minorHAnsi" w:cstheme="minorHAnsi"/>
          <w:color w:val="26282A"/>
          <w:sz w:val="22"/>
          <w:szCs w:val="22"/>
        </w:rPr>
        <w:t xml:space="preserve">Board vote </w:t>
      </w:r>
      <w:r>
        <w:rPr>
          <w:rFonts w:asciiTheme="minorHAnsi" w:hAnsiTheme="minorHAnsi" w:cstheme="minorHAnsi"/>
          <w:color w:val="26282A"/>
          <w:sz w:val="22"/>
          <w:szCs w:val="22"/>
        </w:rPr>
        <w:t xml:space="preserve">to “vacate” </w:t>
      </w:r>
      <w:r w:rsidRPr="001142C8">
        <w:rPr>
          <w:rFonts w:asciiTheme="minorHAnsi" w:hAnsiTheme="minorHAnsi" w:cstheme="minorHAnsi"/>
          <w:color w:val="26282A"/>
          <w:sz w:val="22"/>
          <w:szCs w:val="22"/>
        </w:rPr>
        <w:t>not "removal"</w:t>
      </w:r>
      <w:r>
        <w:rPr>
          <w:rFonts w:asciiTheme="minorHAnsi" w:hAnsiTheme="minorHAnsi" w:cstheme="minorHAnsi"/>
          <w:color w:val="26282A"/>
          <w:sz w:val="22"/>
          <w:szCs w:val="22"/>
        </w:rPr>
        <w:t xml:space="preserve">?  </w:t>
      </w:r>
      <w:r w:rsidR="00214C39">
        <w:rPr>
          <w:rFonts w:asciiTheme="minorHAnsi" w:hAnsiTheme="minorHAnsi" w:cstheme="minorHAnsi"/>
          <w:i/>
          <w:color w:val="26282A"/>
          <w:sz w:val="22"/>
          <w:szCs w:val="22"/>
        </w:rPr>
        <w:t xml:space="preserve">Does the FAQ response make you dizzy? </w:t>
      </w:r>
      <w:r w:rsidR="00214C39" w:rsidRPr="00214C39">
        <w:rPr>
          <w:rFonts w:asciiTheme="minorHAnsi" w:hAnsiTheme="minorHAnsi" w:cstheme="minorHAnsi"/>
          <w:i/>
          <w:color w:val="26282A"/>
          <w:sz w:val="22"/>
          <w:szCs w:val="22"/>
        </w:rPr>
        <w:t>Does that pass the smell test?</w:t>
      </w:r>
      <w:r w:rsidR="00214C39">
        <w:rPr>
          <w:rFonts w:asciiTheme="minorHAnsi" w:hAnsiTheme="minorHAnsi" w:cstheme="minorHAnsi"/>
          <w:i/>
          <w:color w:val="26282A"/>
          <w:sz w:val="22"/>
          <w:szCs w:val="22"/>
        </w:rPr>
        <w:t xml:space="preserve"> The idea that a vote to vacate is not </w:t>
      </w:r>
      <w:r w:rsidR="00FB0F10">
        <w:rPr>
          <w:rFonts w:asciiTheme="minorHAnsi" w:hAnsiTheme="minorHAnsi" w:cstheme="minorHAnsi"/>
          <w:i/>
          <w:color w:val="26282A"/>
          <w:sz w:val="22"/>
          <w:szCs w:val="22"/>
        </w:rPr>
        <w:t xml:space="preserve">a vote to </w:t>
      </w:r>
      <w:r w:rsidR="00214C39">
        <w:rPr>
          <w:rFonts w:asciiTheme="minorHAnsi" w:hAnsiTheme="minorHAnsi" w:cstheme="minorHAnsi"/>
          <w:i/>
          <w:color w:val="26282A"/>
          <w:sz w:val="22"/>
          <w:szCs w:val="22"/>
        </w:rPr>
        <w:t>remov</w:t>
      </w:r>
      <w:r w:rsidR="00FB0F10">
        <w:rPr>
          <w:rFonts w:asciiTheme="minorHAnsi" w:hAnsiTheme="minorHAnsi" w:cstheme="minorHAnsi"/>
          <w:i/>
          <w:color w:val="26282A"/>
          <w:sz w:val="22"/>
          <w:szCs w:val="22"/>
        </w:rPr>
        <w:t>e</w:t>
      </w:r>
      <w:r w:rsidR="00214C39">
        <w:rPr>
          <w:rFonts w:asciiTheme="minorHAnsi" w:hAnsiTheme="minorHAnsi" w:cstheme="minorHAnsi"/>
          <w:i/>
          <w:color w:val="26282A"/>
          <w:sz w:val="22"/>
          <w:szCs w:val="22"/>
        </w:rPr>
        <w:t xml:space="preserve"> makes my hair hurt. </w:t>
      </w:r>
    </w:p>
    <w:p w:rsidR="00583FC1" w:rsidRDefault="00583FC1" w:rsidP="00583FC1">
      <w:pPr>
        <w:pStyle w:val="NormalWeb"/>
        <w:shd w:val="clear" w:color="auto" w:fill="FFFFFF"/>
        <w:spacing w:before="0" w:beforeAutospacing="0" w:after="0" w:afterAutospacing="0"/>
        <w:textAlignment w:val="baseline"/>
        <w:rPr>
          <w:rFonts w:ascii="Arial" w:hAnsi="Arial" w:cs="Arial"/>
          <w:color w:val="224466"/>
          <w:sz w:val="21"/>
          <w:szCs w:val="21"/>
        </w:rPr>
      </w:pPr>
      <w:r>
        <w:rPr>
          <w:rStyle w:val="Strong"/>
          <w:rFonts w:ascii="Arial" w:hAnsi="Arial" w:cs="Arial"/>
          <w:color w:val="224466"/>
          <w:sz w:val="21"/>
          <w:szCs w:val="21"/>
          <w:bdr w:val="none" w:sz="0" w:space="0" w:color="auto" w:frame="1"/>
        </w:rPr>
        <w:t>7. In case of a suspected violation of fiduciary duties, does the accused have the ability to defend themselves?</w:t>
      </w:r>
    </w:p>
    <w:p w:rsidR="00583FC1" w:rsidRDefault="00583FC1" w:rsidP="00583FC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The accused will have the ability to provide evidence to the neutral independent Third Party that no violation of ethical, legal, or fiduciary duty occurred.  If the Third Party finds that a violation occurred, the issue will be discussed before the full Board before a vote is taken.  The accused will have ample opportunity to be heard during that discussion.</w:t>
      </w:r>
    </w:p>
    <w:p w:rsidR="00214C39" w:rsidRDefault="00F90A39" w:rsidP="00F90A39">
      <w:pPr>
        <w:pStyle w:val="NormalWeb"/>
        <w:shd w:val="clear" w:color="auto" w:fill="FFFFFF"/>
        <w:spacing w:before="0" w:beforeAutospacing="0" w:after="0" w:afterAutospacing="0"/>
        <w:ind w:firstLine="360"/>
        <w:textAlignment w:val="baseline"/>
        <w:rPr>
          <w:rStyle w:val="Strong"/>
          <w:rFonts w:asciiTheme="minorHAnsi" w:hAnsiTheme="minorHAnsi" w:cstheme="minorHAnsi"/>
          <w:sz w:val="22"/>
          <w:szCs w:val="22"/>
          <w:bdr w:val="none" w:sz="0" w:space="0" w:color="auto" w:frame="1"/>
        </w:rPr>
      </w:pPr>
      <w:r w:rsidRPr="005961B4">
        <w:rPr>
          <w:rStyle w:val="Strong"/>
          <w:rFonts w:asciiTheme="minorHAnsi" w:hAnsiTheme="minorHAnsi" w:cstheme="minorHAnsi"/>
          <w:sz w:val="22"/>
          <w:szCs w:val="22"/>
          <w:bdr w:val="none" w:sz="0" w:space="0" w:color="auto" w:frame="1"/>
        </w:rPr>
        <w:t>Comment</w:t>
      </w:r>
      <w:r>
        <w:rPr>
          <w:rStyle w:val="Strong"/>
          <w:rFonts w:asciiTheme="minorHAnsi" w:hAnsiTheme="minorHAnsi" w:cstheme="minorHAnsi"/>
          <w:sz w:val="22"/>
          <w:szCs w:val="22"/>
          <w:bdr w:val="none" w:sz="0" w:space="0" w:color="auto" w:frame="1"/>
        </w:rPr>
        <w:t>s</w:t>
      </w:r>
      <w:r w:rsidRPr="005961B4">
        <w:rPr>
          <w:rStyle w:val="Strong"/>
          <w:rFonts w:asciiTheme="minorHAnsi" w:hAnsiTheme="minorHAnsi" w:cstheme="minorHAnsi"/>
          <w:sz w:val="22"/>
          <w:szCs w:val="22"/>
          <w:bdr w:val="none" w:sz="0" w:space="0" w:color="auto" w:frame="1"/>
        </w:rPr>
        <w:t>:</w:t>
      </w:r>
    </w:p>
    <w:p w:rsidR="00214C39" w:rsidRDefault="00214C39" w:rsidP="00F90A39">
      <w:pPr>
        <w:pStyle w:val="NormalWeb"/>
        <w:shd w:val="clear" w:color="auto" w:fill="FFFFFF"/>
        <w:spacing w:before="0" w:beforeAutospacing="0" w:after="0" w:afterAutospacing="0"/>
        <w:ind w:firstLine="360"/>
        <w:textAlignment w:val="baseline"/>
        <w:rPr>
          <w:rStyle w:val="Strong"/>
          <w:rFonts w:asciiTheme="minorHAnsi" w:hAnsiTheme="minorHAnsi" w:cstheme="minorHAnsi"/>
          <w:b w:val="0"/>
          <w:sz w:val="22"/>
          <w:szCs w:val="22"/>
          <w:bdr w:val="none" w:sz="0" w:space="0" w:color="auto" w:frame="1"/>
        </w:rPr>
      </w:pPr>
    </w:p>
    <w:p w:rsidR="00214C39" w:rsidRDefault="00214C39" w:rsidP="00F90A39">
      <w:pPr>
        <w:pStyle w:val="NormalWeb"/>
        <w:shd w:val="clear" w:color="auto" w:fill="FFFFFF"/>
        <w:spacing w:before="0" w:beforeAutospacing="0" w:after="0" w:afterAutospacing="0"/>
        <w:ind w:firstLine="360"/>
        <w:textAlignment w:val="baseline"/>
        <w:rPr>
          <w:rStyle w:val="Strong"/>
          <w:rFonts w:asciiTheme="minorHAnsi" w:hAnsiTheme="minorHAnsi" w:cstheme="minorHAnsi"/>
          <w:b w:val="0"/>
          <w:sz w:val="22"/>
          <w:szCs w:val="22"/>
          <w:bdr w:val="none" w:sz="0" w:space="0" w:color="auto" w:frame="1"/>
        </w:rPr>
      </w:pPr>
      <w:r w:rsidRPr="00214C39">
        <w:rPr>
          <w:rStyle w:val="Strong"/>
          <w:rFonts w:asciiTheme="minorHAnsi" w:hAnsiTheme="minorHAnsi" w:cstheme="minorHAnsi"/>
          <w:b w:val="0"/>
          <w:sz w:val="22"/>
          <w:szCs w:val="22"/>
          <w:bdr w:val="none" w:sz="0" w:space="0" w:color="auto" w:frame="1"/>
        </w:rPr>
        <w:t>Let’s pass over the problem of calling “the accused” “them.”</w:t>
      </w:r>
    </w:p>
    <w:p w:rsidR="00214C39" w:rsidRDefault="00214C39" w:rsidP="00F90A39">
      <w:pPr>
        <w:pStyle w:val="NormalWeb"/>
        <w:shd w:val="clear" w:color="auto" w:fill="FFFFFF"/>
        <w:spacing w:before="0" w:beforeAutospacing="0" w:after="0" w:afterAutospacing="0"/>
        <w:ind w:firstLine="360"/>
        <w:textAlignment w:val="baseline"/>
        <w:rPr>
          <w:rStyle w:val="Strong"/>
          <w:rFonts w:asciiTheme="minorHAnsi" w:hAnsiTheme="minorHAnsi" w:cstheme="minorHAnsi"/>
          <w:b w:val="0"/>
          <w:sz w:val="22"/>
          <w:szCs w:val="22"/>
          <w:bdr w:val="none" w:sz="0" w:space="0" w:color="auto" w:frame="1"/>
        </w:rPr>
      </w:pPr>
    </w:p>
    <w:p w:rsidR="00F90A39" w:rsidRDefault="00F90A39" w:rsidP="00F90A39">
      <w:pPr>
        <w:pStyle w:val="NormalWeb"/>
        <w:shd w:val="clear" w:color="auto" w:fill="FFFFFF"/>
        <w:spacing w:before="0" w:beforeAutospacing="0" w:after="0" w:afterAutospacing="0"/>
        <w:ind w:firstLine="360"/>
        <w:textAlignment w:val="baseline"/>
        <w:rPr>
          <w:rStyle w:val="Strong"/>
          <w:rFonts w:asciiTheme="minorHAnsi" w:hAnsiTheme="minorHAnsi" w:cstheme="minorHAnsi"/>
          <w:sz w:val="22"/>
          <w:szCs w:val="22"/>
          <w:bdr w:val="none" w:sz="0" w:space="0" w:color="auto" w:frame="1"/>
        </w:rPr>
      </w:pPr>
      <w:r w:rsidRPr="00F90A39">
        <w:rPr>
          <w:rStyle w:val="Strong"/>
          <w:rFonts w:asciiTheme="minorHAnsi" w:hAnsiTheme="minorHAnsi" w:cstheme="minorHAnsi"/>
          <w:b w:val="0"/>
          <w:sz w:val="22"/>
          <w:szCs w:val="22"/>
          <w:bdr w:val="none" w:sz="0" w:space="0" w:color="auto" w:frame="1"/>
        </w:rPr>
        <w:t>See the above discussion of “evidence.”</w:t>
      </w:r>
      <w:r>
        <w:rPr>
          <w:rStyle w:val="Strong"/>
          <w:rFonts w:asciiTheme="minorHAnsi" w:hAnsiTheme="minorHAnsi" w:cstheme="minorHAnsi"/>
          <w:b w:val="0"/>
          <w:sz w:val="22"/>
          <w:szCs w:val="22"/>
          <w:bdr w:val="none" w:sz="0" w:space="0" w:color="auto" w:frame="1"/>
        </w:rPr>
        <w:t xml:space="preserve"> The accused Board member may be able to provide information to prove or dispute a fact, but, under the wording, cannot argue the rules, regulations, and the law – only evidence.</w:t>
      </w:r>
    </w:p>
    <w:p w:rsidR="00F90A39" w:rsidRDefault="00F90A39" w:rsidP="00583FC1">
      <w:pPr>
        <w:pStyle w:val="NormalWeb"/>
        <w:shd w:val="clear" w:color="auto" w:fill="FFFFFF"/>
        <w:spacing w:before="0" w:beforeAutospacing="0" w:after="0" w:afterAutospacing="0"/>
        <w:textAlignment w:val="baseline"/>
        <w:rPr>
          <w:rStyle w:val="Strong"/>
          <w:rFonts w:ascii="Arial" w:hAnsi="Arial" w:cs="Arial"/>
          <w:color w:val="224466"/>
          <w:sz w:val="21"/>
          <w:szCs w:val="21"/>
          <w:bdr w:val="none" w:sz="0" w:space="0" w:color="auto" w:frame="1"/>
        </w:rPr>
      </w:pPr>
    </w:p>
    <w:p w:rsidR="00583FC1" w:rsidRDefault="00583FC1" w:rsidP="00583FC1">
      <w:pPr>
        <w:pStyle w:val="NormalWeb"/>
        <w:shd w:val="clear" w:color="auto" w:fill="FFFFFF"/>
        <w:spacing w:before="0" w:beforeAutospacing="0" w:after="0" w:afterAutospacing="0"/>
        <w:textAlignment w:val="baseline"/>
        <w:rPr>
          <w:rFonts w:ascii="Arial" w:hAnsi="Arial" w:cs="Arial"/>
          <w:color w:val="224466"/>
          <w:sz w:val="21"/>
          <w:szCs w:val="21"/>
        </w:rPr>
      </w:pPr>
      <w:r>
        <w:rPr>
          <w:rStyle w:val="Strong"/>
          <w:rFonts w:ascii="Arial" w:hAnsi="Arial" w:cs="Arial"/>
          <w:color w:val="224466"/>
          <w:sz w:val="21"/>
          <w:szCs w:val="21"/>
          <w:bdr w:val="none" w:sz="0" w:space="0" w:color="auto" w:frame="1"/>
        </w:rPr>
        <w:t>8. Is it true that the goal of this proposal is to eliminate dissent from the Board?</w:t>
      </w:r>
    </w:p>
    <w:p w:rsidR="00583FC1" w:rsidRDefault="00583FC1" w:rsidP="00583FC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Absolutely not true.  The goal is to be sure that all Board Members understand their authority, their responsibility, and what is expected of them under the current Governing Documents and State Statute.  In fact, the strengthened and well-defined process of dealing with violations of ethical, legal, or fiduciary duties provides more protections than now exist.</w:t>
      </w:r>
    </w:p>
    <w:p w:rsidR="00F90A39" w:rsidRDefault="00F90A39" w:rsidP="00F90A39">
      <w:pPr>
        <w:pStyle w:val="NormalWeb"/>
        <w:shd w:val="clear" w:color="auto" w:fill="FFFFFF"/>
        <w:spacing w:before="0" w:beforeAutospacing="0" w:after="0" w:afterAutospacing="0"/>
        <w:ind w:firstLine="360"/>
        <w:textAlignment w:val="baseline"/>
        <w:rPr>
          <w:rStyle w:val="Strong"/>
          <w:rFonts w:asciiTheme="minorHAnsi" w:hAnsiTheme="minorHAnsi" w:cstheme="minorHAnsi"/>
          <w:sz w:val="22"/>
          <w:szCs w:val="22"/>
          <w:bdr w:val="none" w:sz="0" w:space="0" w:color="auto" w:frame="1"/>
        </w:rPr>
      </w:pPr>
      <w:r w:rsidRPr="005961B4">
        <w:rPr>
          <w:rStyle w:val="Strong"/>
          <w:rFonts w:asciiTheme="minorHAnsi" w:hAnsiTheme="minorHAnsi" w:cstheme="minorHAnsi"/>
          <w:sz w:val="22"/>
          <w:szCs w:val="22"/>
          <w:bdr w:val="none" w:sz="0" w:space="0" w:color="auto" w:frame="1"/>
        </w:rPr>
        <w:t>Comment</w:t>
      </w:r>
      <w:r>
        <w:rPr>
          <w:rStyle w:val="Strong"/>
          <w:rFonts w:asciiTheme="minorHAnsi" w:hAnsiTheme="minorHAnsi" w:cstheme="minorHAnsi"/>
          <w:sz w:val="22"/>
          <w:szCs w:val="22"/>
          <w:bdr w:val="none" w:sz="0" w:space="0" w:color="auto" w:frame="1"/>
        </w:rPr>
        <w:t>s</w:t>
      </w:r>
      <w:r w:rsidRPr="005961B4">
        <w:rPr>
          <w:rStyle w:val="Strong"/>
          <w:rFonts w:asciiTheme="minorHAnsi" w:hAnsiTheme="minorHAnsi" w:cstheme="minorHAnsi"/>
          <w:sz w:val="22"/>
          <w:szCs w:val="22"/>
          <w:bdr w:val="none" w:sz="0" w:space="0" w:color="auto" w:frame="1"/>
        </w:rPr>
        <w:t>:</w:t>
      </w:r>
      <w:r>
        <w:rPr>
          <w:rStyle w:val="Strong"/>
          <w:rFonts w:asciiTheme="minorHAnsi" w:hAnsiTheme="minorHAnsi" w:cstheme="minorHAnsi"/>
          <w:sz w:val="22"/>
          <w:szCs w:val="22"/>
          <w:bdr w:val="none" w:sz="0" w:space="0" w:color="auto" w:frame="1"/>
        </w:rPr>
        <w:t xml:space="preserve"> </w:t>
      </w:r>
      <w:r w:rsidR="00B20C86">
        <w:rPr>
          <w:rStyle w:val="Strong"/>
          <w:rFonts w:asciiTheme="minorHAnsi" w:hAnsiTheme="minorHAnsi" w:cstheme="minorHAnsi"/>
          <w:sz w:val="22"/>
          <w:szCs w:val="22"/>
          <w:bdr w:val="none" w:sz="0" w:space="0" w:color="auto" w:frame="1"/>
        </w:rPr>
        <w:t>L</w:t>
      </w:r>
      <w:r>
        <w:rPr>
          <w:rStyle w:val="Strong"/>
          <w:rFonts w:asciiTheme="minorHAnsi" w:hAnsiTheme="minorHAnsi" w:cstheme="minorHAnsi"/>
          <w:b w:val="0"/>
          <w:sz w:val="22"/>
          <w:szCs w:val="22"/>
          <w:bdr w:val="none" w:sz="0" w:space="0" w:color="auto" w:frame="1"/>
        </w:rPr>
        <w:t>ook at who has been attacked in recent years, with the intent to eliminate dissent: K3RF, N6AA, K1VR, N2RJ, N3JT (a candidate), and K7REX</w:t>
      </w:r>
      <w:r w:rsidR="00FB0F10">
        <w:rPr>
          <w:rStyle w:val="Strong"/>
          <w:rFonts w:asciiTheme="minorHAnsi" w:hAnsiTheme="minorHAnsi" w:cstheme="minorHAnsi"/>
          <w:b w:val="0"/>
          <w:sz w:val="22"/>
          <w:szCs w:val="22"/>
          <w:bdr w:val="none" w:sz="0" w:space="0" w:color="auto" w:frame="1"/>
        </w:rPr>
        <w:t xml:space="preserve"> (a candidate)</w:t>
      </w:r>
      <w:r>
        <w:rPr>
          <w:rStyle w:val="Strong"/>
          <w:rFonts w:asciiTheme="minorHAnsi" w:hAnsiTheme="minorHAnsi" w:cstheme="minorHAnsi"/>
          <w:b w:val="0"/>
          <w:sz w:val="22"/>
          <w:szCs w:val="22"/>
          <w:bdr w:val="none" w:sz="0" w:space="0" w:color="auto" w:frame="1"/>
        </w:rPr>
        <w:t xml:space="preserve">. That tells you all you need to know. You are either someone who has drunk the Kool-Aid, or </w:t>
      </w:r>
      <w:r w:rsidR="00B20C86">
        <w:rPr>
          <w:rStyle w:val="Strong"/>
          <w:rFonts w:asciiTheme="minorHAnsi" w:hAnsiTheme="minorHAnsi" w:cstheme="minorHAnsi"/>
          <w:b w:val="0"/>
          <w:sz w:val="22"/>
          <w:szCs w:val="22"/>
          <w:bdr w:val="none" w:sz="0" w:space="0" w:color="auto" w:frame="1"/>
        </w:rPr>
        <w:t xml:space="preserve">(1) </w:t>
      </w:r>
      <w:r>
        <w:rPr>
          <w:rStyle w:val="Strong"/>
          <w:rFonts w:asciiTheme="minorHAnsi" w:hAnsiTheme="minorHAnsi" w:cstheme="minorHAnsi"/>
          <w:b w:val="0"/>
          <w:sz w:val="22"/>
          <w:szCs w:val="22"/>
          <w:bdr w:val="none" w:sz="0" w:space="0" w:color="auto" w:frame="1"/>
        </w:rPr>
        <w:t xml:space="preserve">someone who needs to be </w:t>
      </w:r>
      <w:r w:rsidR="00FB0F10">
        <w:rPr>
          <w:rStyle w:val="Strong"/>
          <w:rFonts w:asciiTheme="minorHAnsi" w:hAnsiTheme="minorHAnsi" w:cstheme="minorHAnsi"/>
          <w:b w:val="0"/>
          <w:sz w:val="22"/>
          <w:szCs w:val="22"/>
          <w:bdr w:val="none" w:sz="0" w:space="0" w:color="auto" w:frame="1"/>
        </w:rPr>
        <w:t xml:space="preserve">voted off </w:t>
      </w:r>
      <w:r>
        <w:rPr>
          <w:rStyle w:val="Strong"/>
          <w:rFonts w:asciiTheme="minorHAnsi" w:hAnsiTheme="minorHAnsi" w:cstheme="minorHAnsi"/>
          <w:b w:val="0"/>
          <w:sz w:val="22"/>
          <w:szCs w:val="22"/>
          <w:bdr w:val="none" w:sz="0" w:space="0" w:color="auto" w:frame="1"/>
        </w:rPr>
        <w:t>the Board</w:t>
      </w:r>
      <w:r w:rsidR="00B20C86">
        <w:rPr>
          <w:rStyle w:val="Strong"/>
          <w:rFonts w:asciiTheme="minorHAnsi" w:hAnsiTheme="minorHAnsi" w:cstheme="minorHAnsi"/>
          <w:b w:val="0"/>
          <w:sz w:val="22"/>
          <w:szCs w:val="22"/>
          <w:bdr w:val="none" w:sz="0" w:space="0" w:color="auto" w:frame="1"/>
        </w:rPr>
        <w:t>, or (2) someone who shouldn’t be allowed to be elected by the members</w:t>
      </w:r>
      <w:r>
        <w:rPr>
          <w:rStyle w:val="Strong"/>
          <w:rFonts w:asciiTheme="minorHAnsi" w:hAnsiTheme="minorHAnsi" w:cstheme="minorHAnsi"/>
          <w:b w:val="0"/>
          <w:sz w:val="22"/>
          <w:szCs w:val="22"/>
          <w:bdr w:val="none" w:sz="0" w:space="0" w:color="auto" w:frame="1"/>
        </w:rPr>
        <w:t>.</w:t>
      </w:r>
    </w:p>
    <w:p w:rsidR="00F90A39" w:rsidRDefault="00F90A39" w:rsidP="00583FC1">
      <w:pPr>
        <w:pStyle w:val="NormalWeb"/>
        <w:shd w:val="clear" w:color="auto" w:fill="FFFFFF"/>
        <w:spacing w:before="0" w:beforeAutospacing="0" w:after="0" w:afterAutospacing="0"/>
        <w:textAlignment w:val="baseline"/>
        <w:rPr>
          <w:rStyle w:val="Strong"/>
          <w:rFonts w:ascii="Arial" w:hAnsi="Arial" w:cs="Arial"/>
          <w:color w:val="224466"/>
          <w:sz w:val="21"/>
          <w:szCs w:val="21"/>
          <w:bdr w:val="none" w:sz="0" w:space="0" w:color="auto" w:frame="1"/>
        </w:rPr>
      </w:pPr>
    </w:p>
    <w:p w:rsidR="00583FC1" w:rsidRDefault="00583FC1" w:rsidP="00583FC1">
      <w:pPr>
        <w:pStyle w:val="NormalWeb"/>
        <w:shd w:val="clear" w:color="auto" w:fill="FFFFFF"/>
        <w:spacing w:before="0" w:beforeAutospacing="0" w:after="0" w:afterAutospacing="0"/>
        <w:textAlignment w:val="baseline"/>
        <w:rPr>
          <w:rFonts w:ascii="Arial" w:hAnsi="Arial" w:cs="Arial"/>
          <w:color w:val="224466"/>
          <w:sz w:val="21"/>
          <w:szCs w:val="21"/>
        </w:rPr>
      </w:pPr>
      <w:r>
        <w:rPr>
          <w:rStyle w:val="Strong"/>
          <w:rFonts w:ascii="Arial" w:hAnsi="Arial" w:cs="Arial"/>
          <w:color w:val="224466"/>
          <w:sz w:val="21"/>
          <w:szCs w:val="21"/>
          <w:bdr w:val="none" w:sz="0" w:space="0" w:color="auto" w:frame="1"/>
        </w:rPr>
        <w:t>9. Does this proposal take revenge against meddlesome Directors, and prevent new thinkers from being elected?</w:t>
      </w:r>
    </w:p>
    <w:p w:rsidR="00583FC1" w:rsidRDefault="00583FC1" w:rsidP="00583FC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The proposal is designed to make sure that ARRL as a 501(c</w:t>
      </w:r>
      <w:proofErr w:type="gramStart"/>
      <w:r>
        <w:rPr>
          <w:rFonts w:ascii="Arial" w:hAnsi="Arial" w:cs="Arial"/>
          <w:color w:val="224466"/>
          <w:sz w:val="21"/>
          <w:szCs w:val="21"/>
        </w:rPr>
        <w:t>)(</w:t>
      </w:r>
      <w:proofErr w:type="gramEnd"/>
      <w:r>
        <w:rPr>
          <w:rFonts w:ascii="Arial" w:hAnsi="Arial" w:cs="Arial"/>
          <w:color w:val="224466"/>
          <w:sz w:val="21"/>
          <w:szCs w:val="21"/>
        </w:rPr>
        <w:t>3) organization is protected from a Director violating their ethical, legal, or fiduciary duties as defined by State Statute and the Governing Documents (By-Laws, Articles of Incorporation, and Rules and Regulations, and the Director Workbook.  Under this proposal, a Director has stronger protections against findings of a violation.  The intent is to strengthen the Board and, thereby, ARRL.  Members seeking a position on the Board will likely find the opportunity more attractive because of a well-defined method for understanding the job that is expected and because of stronger protections so that they can participate in helping ARRL meet its mission and goals.</w:t>
      </w:r>
    </w:p>
    <w:p w:rsidR="00F90A39" w:rsidRPr="00F90A39" w:rsidRDefault="00F90A39" w:rsidP="00D253B9">
      <w:pPr>
        <w:pStyle w:val="NormalWeb"/>
        <w:shd w:val="clear" w:color="auto" w:fill="FFFFFF"/>
        <w:spacing w:before="0" w:beforeAutospacing="0" w:after="240" w:afterAutospacing="0"/>
        <w:ind w:firstLine="360"/>
        <w:textAlignment w:val="baseline"/>
        <w:rPr>
          <w:rFonts w:asciiTheme="minorHAnsi" w:hAnsiTheme="minorHAnsi" w:cstheme="minorHAnsi"/>
          <w:sz w:val="22"/>
          <w:szCs w:val="22"/>
        </w:rPr>
      </w:pPr>
      <w:r w:rsidRPr="00F90A39">
        <w:rPr>
          <w:rFonts w:asciiTheme="minorHAnsi" w:hAnsiTheme="minorHAnsi" w:cstheme="minorHAnsi"/>
          <w:b/>
          <w:sz w:val="22"/>
          <w:szCs w:val="22"/>
        </w:rPr>
        <w:t xml:space="preserve">Comments: </w:t>
      </w:r>
      <w:r w:rsidRPr="00F90A39">
        <w:rPr>
          <w:rFonts w:asciiTheme="minorHAnsi" w:hAnsiTheme="minorHAnsi" w:cstheme="minorHAnsi"/>
          <w:sz w:val="22"/>
          <w:szCs w:val="22"/>
        </w:rPr>
        <w:t>The requirements of the state statute</w:t>
      </w:r>
      <w:r w:rsidR="007F43FE">
        <w:rPr>
          <w:rFonts w:asciiTheme="minorHAnsi" w:hAnsiTheme="minorHAnsi" w:cstheme="minorHAnsi"/>
          <w:sz w:val="22"/>
          <w:szCs w:val="22"/>
        </w:rPr>
        <w:t xml:space="preserve"> (</w:t>
      </w:r>
      <w:r w:rsidRPr="00F90A39">
        <w:rPr>
          <w:rFonts w:asciiTheme="minorHAnsi" w:hAnsiTheme="minorHAnsi" w:cstheme="minorHAnsi"/>
          <w:sz w:val="22"/>
          <w:szCs w:val="22"/>
        </w:rPr>
        <w:t>good faith, prudent care, and best interests of the corporation</w:t>
      </w:r>
      <w:r w:rsidR="007F43FE">
        <w:rPr>
          <w:rFonts w:asciiTheme="minorHAnsi" w:hAnsiTheme="minorHAnsi" w:cstheme="minorHAnsi"/>
          <w:sz w:val="22"/>
          <w:szCs w:val="22"/>
        </w:rPr>
        <w:t>)</w:t>
      </w:r>
      <w:r w:rsidRPr="00F90A39">
        <w:rPr>
          <w:rFonts w:asciiTheme="minorHAnsi" w:hAnsiTheme="minorHAnsi" w:cstheme="minorHAnsi"/>
          <w:sz w:val="22"/>
          <w:szCs w:val="22"/>
        </w:rPr>
        <w:t xml:space="preserve"> are not the rules of </w:t>
      </w:r>
      <w:r>
        <w:rPr>
          <w:rFonts w:asciiTheme="minorHAnsi" w:hAnsiTheme="minorHAnsi" w:cstheme="minorHAnsi"/>
          <w:sz w:val="22"/>
          <w:szCs w:val="22"/>
        </w:rPr>
        <w:t xml:space="preserve">Proposed </w:t>
      </w:r>
      <w:r w:rsidR="007F43FE">
        <w:rPr>
          <w:rFonts w:asciiTheme="minorHAnsi" w:hAnsiTheme="minorHAnsi" w:cstheme="minorHAnsi"/>
          <w:sz w:val="22"/>
          <w:szCs w:val="22"/>
        </w:rPr>
        <w:t>By-Law</w:t>
      </w:r>
      <w:r w:rsidRPr="00F90A39">
        <w:rPr>
          <w:rFonts w:asciiTheme="minorHAnsi" w:hAnsiTheme="minorHAnsi" w:cstheme="minorHAnsi"/>
          <w:sz w:val="22"/>
          <w:szCs w:val="22"/>
        </w:rPr>
        <w:t xml:space="preserve"> 46. Once the Board rids itself of a meddlesome Director, he or she is gone forever (“in perpetuity”).</w:t>
      </w:r>
      <w:r>
        <w:rPr>
          <w:rFonts w:asciiTheme="minorHAnsi" w:hAnsiTheme="minorHAnsi" w:cstheme="minorHAnsi"/>
          <w:sz w:val="22"/>
          <w:szCs w:val="22"/>
        </w:rPr>
        <w:t xml:space="preserve"> </w:t>
      </w:r>
      <w:r w:rsidR="007F43FE">
        <w:rPr>
          <w:rFonts w:asciiTheme="minorHAnsi" w:hAnsiTheme="minorHAnsi" w:cstheme="minorHAnsi"/>
          <w:sz w:val="22"/>
          <w:szCs w:val="22"/>
        </w:rPr>
        <w:t>T</w:t>
      </w:r>
      <w:r>
        <w:rPr>
          <w:rFonts w:asciiTheme="minorHAnsi" w:hAnsiTheme="minorHAnsi" w:cstheme="minorHAnsi"/>
          <w:sz w:val="22"/>
          <w:szCs w:val="22"/>
        </w:rPr>
        <w:t xml:space="preserve">he intent is to strengthen an agreeable Board, </w:t>
      </w:r>
      <w:r w:rsidR="00D253B9">
        <w:rPr>
          <w:rFonts w:asciiTheme="minorHAnsi" w:hAnsiTheme="minorHAnsi" w:cstheme="minorHAnsi"/>
          <w:sz w:val="22"/>
          <w:szCs w:val="22"/>
        </w:rPr>
        <w:t>and diminish the possibilities for dissent (see previous discussion of confidentiality). I still see no reason K7REX</w:t>
      </w:r>
      <w:r w:rsidR="00515903">
        <w:rPr>
          <w:rFonts w:asciiTheme="minorHAnsi" w:hAnsiTheme="minorHAnsi" w:cstheme="minorHAnsi"/>
          <w:sz w:val="22"/>
          <w:szCs w:val="22"/>
        </w:rPr>
        <w:t>, a candidate,</w:t>
      </w:r>
      <w:r w:rsidR="00D253B9">
        <w:rPr>
          <w:rFonts w:asciiTheme="minorHAnsi" w:hAnsiTheme="minorHAnsi" w:cstheme="minorHAnsi"/>
          <w:sz w:val="22"/>
          <w:szCs w:val="22"/>
        </w:rPr>
        <w:t xml:space="preserve"> was disqualified in the last election, other than that he might be a </w:t>
      </w:r>
      <w:r w:rsidR="00515903">
        <w:rPr>
          <w:rFonts w:asciiTheme="minorHAnsi" w:hAnsiTheme="minorHAnsi" w:cstheme="minorHAnsi"/>
          <w:sz w:val="22"/>
          <w:szCs w:val="22"/>
        </w:rPr>
        <w:t>meddlesome</w:t>
      </w:r>
      <w:r w:rsidR="00D253B9">
        <w:rPr>
          <w:rFonts w:asciiTheme="minorHAnsi" w:hAnsiTheme="minorHAnsi" w:cstheme="minorHAnsi"/>
          <w:sz w:val="22"/>
          <w:szCs w:val="22"/>
        </w:rPr>
        <w:t>.</w:t>
      </w:r>
    </w:p>
    <w:p w:rsidR="00583FC1" w:rsidRPr="00893AA6" w:rsidRDefault="00D253B9" w:rsidP="00583FC1">
      <w:pPr>
        <w:rPr>
          <w:b/>
        </w:rPr>
      </w:pPr>
      <w:r>
        <w:rPr>
          <w:b/>
        </w:rPr>
        <w:t>OK, Fred, i</w:t>
      </w:r>
      <w:r w:rsidR="00893AA6" w:rsidRPr="00893AA6">
        <w:rPr>
          <w:b/>
        </w:rPr>
        <w:t>f there are so many things wrong, why weren’t you on the committee?</w:t>
      </w:r>
    </w:p>
    <w:p w:rsidR="00D253B9" w:rsidRPr="00D253B9" w:rsidRDefault="00D253B9" w:rsidP="00D253B9">
      <w:pPr>
        <w:ind w:firstLine="360"/>
      </w:pPr>
      <w:r w:rsidRPr="00D253B9">
        <w:rPr>
          <w:b/>
        </w:rPr>
        <w:t>Comments:</w:t>
      </w:r>
      <w:r>
        <w:t xml:space="preserve"> I tried to contribute to the discussion. </w:t>
      </w:r>
      <w:r w:rsidR="00B20C86">
        <w:t>M</w:t>
      </w:r>
      <w:r>
        <w:t xml:space="preserve">y previous criticisms of proposals to change </w:t>
      </w:r>
      <w:r w:rsidR="007F43FE">
        <w:t>By-Law</w:t>
      </w:r>
      <w:r>
        <w:t xml:space="preserve"> 46 </w:t>
      </w:r>
      <w:r w:rsidR="00B20C86">
        <w:t xml:space="preserve">were </w:t>
      </w:r>
      <w:r>
        <w:t>published widely</w:t>
      </w:r>
      <w:r w:rsidR="00B20C86">
        <w:t>.</w:t>
      </w:r>
      <w:r>
        <w:t xml:space="preserve"> </w:t>
      </w:r>
      <w:r w:rsidR="00B20C86">
        <w:t>If the original motion allowed it, I could have been invited</w:t>
      </w:r>
      <w:r w:rsidR="000C69CF">
        <w:t>, but</w:t>
      </w:r>
      <w:r>
        <w:t xml:space="preserve"> </w:t>
      </w:r>
      <w:r w:rsidR="00934B44">
        <w:t>I think I was unwelcome</w:t>
      </w:r>
      <w:r>
        <w:t xml:space="preserve">. </w:t>
      </w:r>
      <w:r w:rsidR="00B20C86">
        <w:t xml:space="preserve">If invited, I’d want to make policy discussions public, and solicit </w:t>
      </w:r>
      <w:r w:rsidR="00934B44">
        <w:t xml:space="preserve">public </w:t>
      </w:r>
      <w:r w:rsidR="00B20C86">
        <w:t>input.</w:t>
      </w:r>
    </w:p>
    <w:p w:rsidR="00893AA6" w:rsidRPr="00893AA6" w:rsidRDefault="00893AA6" w:rsidP="00583FC1">
      <w:pPr>
        <w:rPr>
          <w:b/>
        </w:rPr>
      </w:pPr>
      <w:r w:rsidRPr="00893AA6">
        <w:rPr>
          <w:b/>
        </w:rPr>
        <w:t>Recommendation</w:t>
      </w:r>
      <w:r w:rsidR="00C81D15">
        <w:rPr>
          <w:b/>
        </w:rPr>
        <w:t>s</w:t>
      </w:r>
      <w:r w:rsidRPr="00893AA6">
        <w:rPr>
          <w:b/>
        </w:rPr>
        <w:tab/>
      </w:r>
    </w:p>
    <w:p w:rsidR="00893AA6" w:rsidRDefault="00C81D15" w:rsidP="004D5337">
      <w:pPr>
        <w:pStyle w:val="ListParagraph"/>
        <w:numPr>
          <w:ilvl w:val="0"/>
          <w:numId w:val="3"/>
        </w:numPr>
        <w:ind w:left="720"/>
      </w:pPr>
      <w:r>
        <w:t xml:space="preserve">The ARRL Board Member Statement is not ready for prime time. </w:t>
      </w:r>
      <w:r w:rsidR="00934B44">
        <w:t>We</w:t>
      </w:r>
      <w:r>
        <w:t xml:space="preserve"> need public debate – at Dayton, on-line, in QST</w:t>
      </w:r>
      <w:r w:rsidR="007F43FE">
        <w:t>,</w:t>
      </w:r>
      <w:r>
        <w:t xml:space="preserve"> or other publications. This will require a least a year. It should never have been released in the Thanksgiving</w:t>
      </w:r>
      <w:r w:rsidR="004D5337">
        <w:t>,</w:t>
      </w:r>
      <w:r>
        <w:t xml:space="preserve"> Christmas</w:t>
      </w:r>
      <w:r w:rsidR="004D5337">
        <w:t>,</w:t>
      </w:r>
      <w:r>
        <w:t xml:space="preserve"> </w:t>
      </w:r>
      <w:r w:rsidR="004D5337">
        <w:t xml:space="preserve">and New Year’s Day </w:t>
      </w:r>
      <w:r>
        <w:t>season</w:t>
      </w:r>
      <w:r w:rsidR="004D5337">
        <w:t xml:space="preserve"> (anybody here watch football?)</w:t>
      </w:r>
      <w:r>
        <w:t xml:space="preserve">, for a </w:t>
      </w:r>
      <w:r w:rsidR="00B20C86">
        <w:t>mid-</w:t>
      </w:r>
      <w:r>
        <w:t>January vote.</w:t>
      </w:r>
    </w:p>
    <w:p w:rsidR="003A7ECE" w:rsidRDefault="00934B44" w:rsidP="004D5337">
      <w:pPr>
        <w:pStyle w:val="ListParagraph"/>
        <w:numPr>
          <w:ilvl w:val="0"/>
          <w:numId w:val="3"/>
        </w:numPr>
        <w:ind w:left="720"/>
      </w:pPr>
      <w:r>
        <w:t>Big</w:t>
      </w:r>
      <w:r w:rsidR="003A7ECE">
        <w:t xml:space="preserve"> proposals such as this, the QST subscription problem, </w:t>
      </w:r>
      <w:r w:rsidR="007F43FE">
        <w:t>the dues hike, etc.,</w:t>
      </w:r>
      <w:r w:rsidR="003A7ECE">
        <w:t xml:space="preserve"> should be widely circulated with enough time </w:t>
      </w:r>
      <w:r w:rsidR="00D253B9">
        <w:t xml:space="preserve">and mechanisms </w:t>
      </w:r>
      <w:r w:rsidR="003A7ECE">
        <w:t>for public debate</w:t>
      </w:r>
      <w:r w:rsidR="007F43FE">
        <w:t>.</w:t>
      </w:r>
      <w:r w:rsidR="003A7ECE">
        <w:t xml:space="preserve"> </w:t>
      </w:r>
      <w:r w:rsidR="007F43FE">
        <w:t>T</w:t>
      </w:r>
      <w:r w:rsidR="003A7ECE">
        <w:t xml:space="preserve">he IEEE </w:t>
      </w:r>
      <w:r w:rsidR="00D253B9">
        <w:t>is a good exemplar</w:t>
      </w:r>
      <w:r w:rsidR="003A7ECE">
        <w:t>.</w:t>
      </w:r>
    </w:p>
    <w:p w:rsidR="004A2021" w:rsidRDefault="00C81D15" w:rsidP="004D5337">
      <w:pPr>
        <w:pStyle w:val="ListParagraph"/>
        <w:numPr>
          <w:ilvl w:val="0"/>
          <w:numId w:val="3"/>
        </w:numPr>
        <w:ind w:left="720"/>
      </w:pPr>
      <w:r>
        <w:t>The Board should not have the power to remove an elected Director at all</w:t>
      </w:r>
      <w:r w:rsidR="007F43FE">
        <w:t>, or even “vacate” the post (is there a difference?)</w:t>
      </w:r>
      <w:r>
        <w:t>. Connecticut law should govern</w:t>
      </w:r>
      <w:r w:rsidR="00D253B9">
        <w:t>.</w:t>
      </w:r>
    </w:p>
    <w:p w:rsidR="00934B44" w:rsidRDefault="00934B44" w:rsidP="004D5337">
      <w:pPr>
        <w:pStyle w:val="ListParagraph"/>
        <w:numPr>
          <w:ilvl w:val="0"/>
          <w:numId w:val="3"/>
        </w:numPr>
        <w:ind w:left="720"/>
      </w:pPr>
      <w:r>
        <w:t>For sanction</w:t>
      </w:r>
      <w:r w:rsidR="000C69CF">
        <w:t>s</w:t>
      </w:r>
      <w:r>
        <w:t xml:space="preserve">, the standard should be “clear and convincing proof” not </w:t>
      </w:r>
      <w:r w:rsidR="000C69CF">
        <w:t>“</w:t>
      </w:r>
      <w:r>
        <w:t>preponderance of the evidence.</w:t>
      </w:r>
      <w:r w:rsidR="000C69CF">
        <w:t>”</w:t>
      </w:r>
    </w:p>
    <w:p w:rsidR="00D253B9" w:rsidRDefault="00D253B9" w:rsidP="004D5337">
      <w:pPr>
        <w:pStyle w:val="ListParagraph"/>
        <w:numPr>
          <w:ilvl w:val="0"/>
          <w:numId w:val="3"/>
        </w:numPr>
        <w:ind w:left="720"/>
      </w:pPr>
      <w:r>
        <w:t xml:space="preserve">Banishment should </w:t>
      </w:r>
      <w:r w:rsidRPr="007F43FE">
        <w:rPr>
          <w:i/>
        </w:rPr>
        <w:t>not</w:t>
      </w:r>
      <w:r>
        <w:t xml:space="preserve"> be “in perpetuity.” </w:t>
      </w:r>
      <w:r w:rsidR="000C69CF">
        <w:t>T</w:t>
      </w:r>
      <w:r>
        <w:t xml:space="preserve">he authors of Proposed </w:t>
      </w:r>
      <w:r w:rsidR="007F43FE">
        <w:t>By-Law</w:t>
      </w:r>
      <w:r>
        <w:t xml:space="preserve"> 46 believe in </w:t>
      </w:r>
      <w:r w:rsidR="00B20C86">
        <w:t xml:space="preserve">neither </w:t>
      </w:r>
      <w:r>
        <w:t xml:space="preserve">redemption, </w:t>
      </w:r>
      <w:r w:rsidR="00B20C86">
        <w:t>n</w:t>
      </w:r>
      <w:r>
        <w:t>or the will of the electorate.</w:t>
      </w:r>
    </w:p>
    <w:p w:rsidR="004A2021" w:rsidRPr="00334637" w:rsidRDefault="000C69CF" w:rsidP="004D5337">
      <w:pPr>
        <w:pStyle w:val="ListParagraph"/>
        <w:numPr>
          <w:ilvl w:val="0"/>
          <w:numId w:val="3"/>
        </w:numPr>
        <w:ind w:left="720"/>
      </w:pPr>
      <w:r>
        <w:t>I</w:t>
      </w:r>
      <w:r w:rsidR="004A2021">
        <w:t xml:space="preserve">t is bad policy to defeat the will of the members. If they want a </w:t>
      </w:r>
      <w:r w:rsidR="00B20C86">
        <w:t xml:space="preserve">turbulent priest </w:t>
      </w:r>
      <w:r w:rsidR="004A2021">
        <w:t xml:space="preserve">to represent them, and the election is honest, </w:t>
      </w:r>
      <w:r w:rsidR="00072176">
        <w:t>so be it</w:t>
      </w:r>
      <w:r w:rsidR="004A2021">
        <w:t>.</w:t>
      </w:r>
      <w:r w:rsidR="007F43FE">
        <w:t xml:space="preserve"> I doubt </w:t>
      </w:r>
      <w:r w:rsidR="00B20C86">
        <w:t>that person</w:t>
      </w:r>
      <w:r w:rsidR="00072176">
        <w:t xml:space="preserve"> </w:t>
      </w:r>
      <w:r w:rsidR="007F43FE">
        <w:t xml:space="preserve">will really be a scoundrel. Why? Because I believe in voting </w:t>
      </w:r>
      <w:r w:rsidR="00072176">
        <w:t>and voters</w:t>
      </w:r>
      <w:r w:rsidR="007F43FE">
        <w:t>.</w:t>
      </w:r>
    </w:p>
    <w:p w:rsidR="00072EEF" w:rsidRDefault="00D253B9" w:rsidP="00583FC1">
      <w:r>
        <w:t>73,</w:t>
      </w:r>
    </w:p>
    <w:p w:rsidR="00D253B9" w:rsidRDefault="00D253B9" w:rsidP="00583FC1">
      <w:r>
        <w:t>Fred K1VR</w:t>
      </w:r>
    </w:p>
    <w:sectPr w:rsidR="00D253B9" w:rsidSect="00515903">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458" w:rsidRDefault="00264458" w:rsidP="006A60DC">
      <w:pPr>
        <w:spacing w:after="0" w:line="240" w:lineRule="auto"/>
      </w:pPr>
      <w:r>
        <w:separator/>
      </w:r>
    </w:p>
  </w:endnote>
  <w:endnote w:type="continuationSeparator" w:id="0">
    <w:p w:rsidR="00264458" w:rsidRDefault="00264458" w:rsidP="006A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58337"/>
      <w:docPartObj>
        <w:docPartGallery w:val="Page Numbers (Bottom of Page)"/>
        <w:docPartUnique/>
      </w:docPartObj>
    </w:sdtPr>
    <w:sdtEndPr/>
    <w:sdtContent>
      <w:sdt>
        <w:sdtPr>
          <w:id w:val="-1669238322"/>
          <w:docPartObj>
            <w:docPartGallery w:val="Page Numbers (Top of Page)"/>
            <w:docPartUnique/>
          </w:docPartObj>
        </w:sdtPr>
        <w:sdtEndPr/>
        <w:sdtContent>
          <w:p w:rsidR="007E0EE4" w:rsidRDefault="007E0E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0ED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0ED8">
              <w:rPr>
                <w:b/>
                <w:bCs/>
                <w:noProof/>
              </w:rPr>
              <w:t>11</w:t>
            </w:r>
            <w:r>
              <w:rPr>
                <w:b/>
                <w:bCs/>
                <w:sz w:val="24"/>
                <w:szCs w:val="24"/>
              </w:rPr>
              <w:fldChar w:fldCharType="end"/>
            </w:r>
          </w:p>
        </w:sdtContent>
      </w:sdt>
    </w:sdtContent>
  </w:sdt>
  <w:p w:rsidR="007E0EE4" w:rsidRDefault="007E0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458" w:rsidRDefault="00264458" w:rsidP="006A60DC">
      <w:pPr>
        <w:spacing w:after="0" w:line="240" w:lineRule="auto"/>
      </w:pPr>
      <w:r>
        <w:separator/>
      </w:r>
    </w:p>
  </w:footnote>
  <w:footnote w:type="continuationSeparator" w:id="0">
    <w:p w:rsidR="00264458" w:rsidRDefault="00264458" w:rsidP="006A60DC">
      <w:pPr>
        <w:spacing w:after="0" w:line="240" w:lineRule="auto"/>
      </w:pPr>
      <w:r>
        <w:continuationSeparator/>
      </w:r>
    </w:p>
  </w:footnote>
  <w:footnote w:id="1">
    <w:p w:rsidR="007E0EE4" w:rsidRPr="00DF1149" w:rsidRDefault="007E0EE4">
      <w:pPr>
        <w:pStyle w:val="FootnoteText"/>
      </w:pPr>
      <w:r>
        <w:rPr>
          <w:rStyle w:val="FootnoteReference"/>
        </w:rPr>
        <w:footnoteRef/>
      </w:r>
      <w:r>
        <w:t xml:space="preserve"> Atty. Hopengarten has been licensed, and an ARRL member, since he was first licensed as WN1NJL. He is a Life Member, a Diamond Club donor, a Maxim Society donor, a former </w:t>
      </w:r>
      <w:r w:rsidR="005C769F">
        <w:t xml:space="preserve">ARRL </w:t>
      </w:r>
      <w:r>
        <w:t xml:space="preserve">Director, and a former Chairman of the </w:t>
      </w:r>
      <w:r w:rsidR="005C769F">
        <w:t xml:space="preserve">ARRL </w:t>
      </w:r>
      <w:r>
        <w:t>Board of Directors Ethics and Elections Committee</w:t>
      </w:r>
      <w:r w:rsidR="005C769F">
        <w:t xml:space="preserve"> (E&amp;E)</w:t>
      </w:r>
      <w:r>
        <w:t xml:space="preserve">. He is a graduate of Colby College, Boston College Law School, and Harvard Business School. He has no business interests which conflict with ARRL. He is the author of the book </w:t>
      </w:r>
      <w:r>
        <w:rPr>
          <w:i/>
        </w:rPr>
        <w:t>Antenna Zoning for the Radio Amateur</w:t>
      </w:r>
      <w:r>
        <w:t>, now in its 3</w:t>
      </w:r>
      <w:r w:rsidRPr="00DF1149">
        <w:rPr>
          <w:vertAlign w:val="superscript"/>
        </w:rPr>
        <w:t>rd</w:t>
      </w:r>
      <w:r>
        <w:t xml:space="preserve"> edition, and published in cooperation with the ARRL. He insists that he is </w:t>
      </w:r>
      <w:r w:rsidRPr="00DF1149">
        <w:rPr>
          <w:i/>
        </w:rPr>
        <w:t xml:space="preserve">not </w:t>
      </w:r>
      <w:r>
        <w:t xml:space="preserve">anti-ARRL, and </w:t>
      </w:r>
      <w:r w:rsidRPr="00DF1149">
        <w:t>does</w:t>
      </w:r>
      <w:r>
        <w:t xml:space="preserve"> not wish to tear down the ARRL, but rather to save it from decisions he believes are just plain wrong</w:t>
      </w:r>
      <w:r w:rsidR="00072176">
        <w:t xml:space="preserve"> and have caused a decline in membership</w:t>
      </w:r>
      <w:r>
        <w:t>.</w:t>
      </w:r>
    </w:p>
  </w:footnote>
  <w:footnote w:id="2">
    <w:p w:rsidR="007E0EE4" w:rsidRDefault="007E0EE4">
      <w:pPr>
        <w:pStyle w:val="FootnoteText"/>
      </w:pPr>
      <w:r>
        <w:rPr>
          <w:rStyle w:val="FootnoteReference"/>
        </w:rPr>
        <w:footnoteRef/>
      </w:r>
      <w:r>
        <w:t xml:space="preserve"> </w:t>
      </w:r>
      <w:hyperlink r:id="rId1" w:history="1">
        <w:r>
          <w:rPr>
            <w:rStyle w:val="Hyperlink"/>
          </w:rPr>
          <w:t>Bible List Of The Ten Commandments</w:t>
        </w:r>
      </w:hyperlink>
    </w:p>
  </w:footnote>
  <w:footnote w:id="3">
    <w:p w:rsidR="007E0EE4" w:rsidRDefault="007E0EE4">
      <w:pPr>
        <w:pStyle w:val="FootnoteText"/>
      </w:pPr>
      <w:r>
        <w:rPr>
          <w:rStyle w:val="FootnoteReference"/>
        </w:rPr>
        <w:footnoteRef/>
      </w:r>
      <w:r>
        <w:t xml:space="preserve"> </w:t>
      </w:r>
      <w:hyperlink r:id="rId2" w:history="1">
        <w:r w:rsidRPr="00212FB8">
          <w:rPr>
            <w:rStyle w:val="Hyperlink"/>
          </w:rPr>
          <w:t>https://www.ethics.senate.gov/downloads/pdffiles/small_books/CodeOfConduct.pdf</w:t>
        </w:r>
      </w:hyperlink>
      <w:r>
        <w:t xml:space="preserve"> (accessed December 2, 2024)</w:t>
      </w:r>
    </w:p>
  </w:footnote>
  <w:footnote w:id="4">
    <w:p w:rsidR="007E0EE4" w:rsidRDefault="007E0EE4">
      <w:pPr>
        <w:pStyle w:val="FootnoteText"/>
      </w:pPr>
      <w:r>
        <w:rPr>
          <w:rStyle w:val="FootnoteReference"/>
        </w:rPr>
        <w:footnoteRef/>
      </w:r>
      <w:r>
        <w:t xml:space="preserve"> </w:t>
      </w:r>
      <w:hyperlink r:id="rId3" w:history="1">
        <w:r>
          <w:rPr>
            <w:rStyle w:val="Hyperlink"/>
          </w:rPr>
          <w:t>1_2 Standing Orders 2024-01-20 Topic.pdf</w:t>
        </w:r>
      </w:hyperlink>
      <w:r>
        <w:t xml:space="preserve">, </w:t>
      </w:r>
      <w:proofErr w:type="gramStart"/>
      <w:r>
        <w:t>By</w:t>
      </w:r>
      <w:proofErr w:type="gramEnd"/>
      <w:r>
        <w:t xml:space="preserve"> the way, the Standing Orders are a mess. For example, Standing Order 5.13 says that the standing orders dated January 17, 2022 (principal editors: K1DCA and K1VR) is “the current official Standing Orders.” So what is the “standing” of the later set of Standing </w:t>
      </w:r>
      <w:proofErr w:type="gramStart"/>
      <w:r>
        <w:t>Orders,</w:t>
      </w:r>
      <w:proofErr w:type="gramEnd"/>
      <w:r>
        <w:t xml:space="preserve"> dated January 20, 2024? </w:t>
      </w:r>
    </w:p>
  </w:footnote>
  <w:footnote w:id="5">
    <w:p w:rsidR="007E0EE4" w:rsidRDefault="007E0EE4" w:rsidP="00E10C65">
      <w:pPr>
        <w:pStyle w:val="FootnoteText"/>
      </w:pPr>
      <w:r>
        <w:rPr>
          <w:rStyle w:val="FootnoteReference"/>
        </w:rPr>
        <w:footnoteRef/>
      </w:r>
      <w:r>
        <w:t xml:space="preserve"> </w:t>
      </w:r>
      <w:hyperlink r:id="rId4" w:history="1">
        <w:r w:rsidRPr="00212FB8">
          <w:rPr>
            <w:rStyle w:val="Hyperlink"/>
          </w:rPr>
          <w:t>https://www.arrl.org/files/file/About%20ARRL/By-Laws/Proposed/Proposed%20By-Law%2046%202024-11-16.pdf</w:t>
        </w:r>
      </w:hyperlink>
    </w:p>
  </w:footnote>
  <w:footnote w:id="6">
    <w:p w:rsidR="007E0EE4" w:rsidRDefault="007E0EE4">
      <w:pPr>
        <w:pStyle w:val="FootnoteText"/>
      </w:pPr>
      <w:r>
        <w:rPr>
          <w:rStyle w:val="FootnoteReference"/>
        </w:rPr>
        <w:footnoteRef/>
      </w:r>
      <w:r>
        <w:t xml:space="preserve"> </w:t>
      </w:r>
      <w:hyperlink r:id="rId5" w:history="1">
        <w:r w:rsidRPr="00212FB8">
          <w:rPr>
            <w:rStyle w:val="Hyperlink"/>
          </w:rPr>
          <w:t>https://www.arrl.org/files/file/About%20ARRL/By-Laws/Proposed/ARRL%20Board%20Member%20Statement%202024-11-16.pdf</w:t>
        </w:r>
      </w:hyperlink>
    </w:p>
  </w:footnote>
  <w:footnote w:id="7">
    <w:p w:rsidR="007E0EE4" w:rsidRDefault="007E0EE4">
      <w:pPr>
        <w:pStyle w:val="FootnoteText"/>
      </w:pPr>
      <w:r>
        <w:rPr>
          <w:rStyle w:val="FootnoteReference"/>
        </w:rPr>
        <w:footnoteRef/>
      </w:r>
      <w:r>
        <w:t xml:space="preserve"> </w:t>
      </w:r>
      <w:hyperlink r:id="rId6" w:history="1">
        <w:r w:rsidRPr="00212FB8">
          <w:rPr>
            <w:rStyle w:val="Hyperlink"/>
          </w:rPr>
          <w:t>https://www.arrl.org/files/file/About%20ARRL/By-Laws/Proposed/ARRL%20Board%20Member%20Statement%202024-11-16.pdf</w:t>
        </w:r>
      </w:hyperlink>
    </w:p>
  </w:footnote>
  <w:footnote w:id="8">
    <w:p w:rsidR="007E0EE4" w:rsidRDefault="007E0EE4">
      <w:pPr>
        <w:pStyle w:val="FootnoteText"/>
      </w:pPr>
      <w:r>
        <w:rPr>
          <w:rStyle w:val="FootnoteReference"/>
        </w:rPr>
        <w:footnoteRef/>
      </w:r>
      <w:r>
        <w:t xml:space="preserve"> </w:t>
      </w:r>
      <w:hyperlink r:id="rId7" w:history="1">
        <w:r w:rsidRPr="00212FB8">
          <w:rPr>
            <w:rStyle w:val="Hyperlink"/>
          </w:rPr>
          <w:t>https://www.cga.ct.gov/2021/pub/chap_602.htm</w:t>
        </w:r>
      </w:hyperlink>
    </w:p>
  </w:footnote>
  <w:footnote w:id="9">
    <w:p w:rsidR="007E0EE4" w:rsidRDefault="007E0EE4">
      <w:pPr>
        <w:pStyle w:val="FootnoteText"/>
      </w:pPr>
      <w:r>
        <w:rPr>
          <w:rStyle w:val="FootnoteReference"/>
        </w:rPr>
        <w:footnoteRef/>
      </w:r>
      <w:r>
        <w:t xml:space="preserve"> </w:t>
      </w:r>
      <w:hyperlink r:id="rId8" w:history="1">
        <w:r w:rsidRPr="00212FB8">
          <w:rPr>
            <w:rStyle w:val="Hyperlink"/>
          </w:rPr>
          <w:t>https://www.arrl.org/arrl-articles-of-association</w:t>
        </w:r>
      </w:hyperlink>
    </w:p>
  </w:footnote>
  <w:footnote w:id="10">
    <w:p w:rsidR="007E0EE4" w:rsidRDefault="007E0EE4">
      <w:pPr>
        <w:pStyle w:val="FootnoteText"/>
      </w:pPr>
      <w:r>
        <w:rPr>
          <w:rStyle w:val="FootnoteReference"/>
        </w:rPr>
        <w:footnoteRef/>
      </w:r>
      <w:r>
        <w:t xml:space="preserve"> </w:t>
      </w:r>
      <w:hyperlink r:id="rId9" w:history="1">
        <w:r w:rsidRPr="00212FB8">
          <w:rPr>
            <w:rStyle w:val="Hyperlink"/>
          </w:rPr>
          <w:t>https://www.arrl.org/files/file/About%20ARRL/</w:t>
        </w:r>
        <w:r w:rsidR="007F43FE">
          <w:rPr>
            <w:rStyle w:val="Hyperlink"/>
          </w:rPr>
          <w:t>By-Law</w:t>
        </w:r>
        <w:r w:rsidRPr="00212FB8">
          <w:rPr>
            <w:rStyle w:val="Hyperlink"/>
          </w:rPr>
          <w:t>s%202024%20Jan%2001_20_24.pdf</w:t>
        </w:r>
      </w:hyperlink>
    </w:p>
  </w:footnote>
  <w:footnote w:id="11">
    <w:p w:rsidR="007E0EE4" w:rsidRDefault="007E0EE4">
      <w:pPr>
        <w:pStyle w:val="FootnoteText"/>
      </w:pPr>
      <w:r>
        <w:rPr>
          <w:rStyle w:val="FootnoteReference"/>
        </w:rPr>
        <w:footnoteRef/>
      </w:r>
      <w:r>
        <w:t xml:space="preserve"> </w:t>
      </w:r>
      <w:hyperlink r:id="rId10" w:history="1">
        <w:r w:rsidRPr="00212FB8">
          <w:rPr>
            <w:rStyle w:val="Hyperlink"/>
          </w:rPr>
          <w:t>https://www.arrl.org/arrl-rules-regulations</w:t>
        </w:r>
      </w:hyperlink>
    </w:p>
  </w:footnote>
  <w:footnote w:id="12">
    <w:p w:rsidR="007E0EE4" w:rsidRDefault="007E0EE4">
      <w:pPr>
        <w:pStyle w:val="FootnoteText"/>
      </w:pPr>
      <w:r>
        <w:rPr>
          <w:rStyle w:val="FootnoteReference"/>
        </w:rPr>
        <w:footnoteRef/>
      </w:r>
      <w:r>
        <w:t xml:space="preserve"> </w:t>
      </w:r>
      <w:hyperlink r:id="rId11" w:history="1">
        <w:r w:rsidRPr="00212FB8">
          <w:rPr>
            <w:rStyle w:val="Hyperlink"/>
          </w:rPr>
          <w:t>https://www.arrl.org/files/file/About%20ARRL/Standing%20Orders%202024-07-20%20Topic.pdf</w:t>
        </w:r>
      </w:hyperlink>
    </w:p>
  </w:footnote>
  <w:footnote w:id="13">
    <w:p w:rsidR="007E0EE4" w:rsidRDefault="007E0EE4">
      <w:pPr>
        <w:pStyle w:val="FootnoteText"/>
      </w:pPr>
      <w:r>
        <w:rPr>
          <w:rStyle w:val="FootnoteReference"/>
        </w:rPr>
        <w:footnoteRef/>
      </w:r>
      <w:r>
        <w:t xml:space="preserve"> </w:t>
      </w:r>
      <w:proofErr w:type="gramStart"/>
      <w:r>
        <w:t>Board Member Statement,</w:t>
      </w:r>
      <w:r w:rsidR="00692D79">
        <w:t xml:space="preserve"> </w:t>
      </w:r>
      <w:r>
        <w:t>at 6.</w:t>
      </w:r>
      <w:proofErr w:type="gramEnd"/>
    </w:p>
  </w:footnote>
  <w:footnote w:id="14">
    <w:p w:rsidR="007E0EE4" w:rsidRDefault="007E0EE4" w:rsidP="00392D88">
      <w:pPr>
        <w:shd w:val="clear" w:color="auto" w:fill="FFFFFF"/>
        <w:rPr>
          <w:sz w:val="20"/>
          <w:szCs w:val="20"/>
        </w:rPr>
      </w:pPr>
      <w:r>
        <w:rPr>
          <w:rStyle w:val="FootnoteReference"/>
        </w:rPr>
        <w:footnoteRef/>
      </w:r>
      <w:hyperlink r:id="rId12" w:anchor=":~:text=Evidence%20an%20item%20or%20information,testing%2C%20or%20other%20tangible%20objects" w:history="1">
        <w:r w:rsidRPr="00212FB8">
          <w:rPr>
            <w:rStyle w:val="Hyperlink"/>
            <w:sz w:val="20"/>
            <w:szCs w:val="20"/>
          </w:rPr>
          <w:t>https://www.law.cornell.edu/wex/evidence#:~:text=Evidence%20an%20item%20or%20information,testing%2C%20or%20other%20tangible%20objects</w:t>
        </w:r>
      </w:hyperlink>
    </w:p>
    <w:p w:rsidR="007E0EE4" w:rsidRDefault="007E0EE4" w:rsidP="00392D88">
      <w:pPr>
        <w:shd w:val="clear" w:color="auto" w:fill="FFFFFF"/>
      </w:pPr>
      <w:r>
        <w:t xml:space="preserve"> </w:t>
      </w:r>
    </w:p>
    <w:p w:rsidR="007E0EE4" w:rsidRDefault="007E0EE4" w:rsidP="00392D88">
      <w:pPr>
        <w:pStyle w:val="FootnoteText"/>
      </w:pPr>
    </w:p>
  </w:footnote>
  <w:footnote w:id="15">
    <w:p w:rsidR="007E0EE4" w:rsidRDefault="007E0EE4">
      <w:pPr>
        <w:pStyle w:val="FootnoteText"/>
      </w:pPr>
      <w:r>
        <w:rPr>
          <w:rStyle w:val="FootnoteReference"/>
        </w:rPr>
        <w:footnoteRef/>
      </w:r>
      <w:r>
        <w:t xml:space="preserve"> C.G.S. </w:t>
      </w:r>
      <w:r>
        <w:rPr>
          <w:rFonts w:ascii="Times New Roman" w:hAnsi="Times New Roman" w:cs="Times New Roman"/>
        </w:rPr>
        <w:t>§</w:t>
      </w:r>
      <w:r>
        <w:t xml:space="preserve"> 33-1 – “fair”</w:t>
      </w:r>
    </w:p>
  </w:footnote>
  <w:footnote w:id="16">
    <w:p w:rsidR="007E0EE4" w:rsidRDefault="007E0EE4">
      <w:pPr>
        <w:pStyle w:val="FootnoteText"/>
      </w:pPr>
      <w:r>
        <w:rPr>
          <w:rStyle w:val="FootnoteReference"/>
        </w:rPr>
        <w:footnoteRef/>
      </w:r>
      <w:r>
        <w:t xml:space="preserve"> C.G.S. </w:t>
      </w:r>
      <w:r>
        <w:rPr>
          <w:rFonts w:ascii="Times New Roman" w:hAnsi="Times New Roman" w:cs="Times New Roman"/>
        </w:rPr>
        <w:t>§</w:t>
      </w:r>
      <w:r>
        <w:t xml:space="preserve"> 33-1 – “spouse”</w:t>
      </w:r>
    </w:p>
  </w:footnote>
  <w:footnote w:id="17">
    <w:p w:rsidR="003F2998" w:rsidRDefault="003F2998">
      <w:pPr>
        <w:pStyle w:val="FootnoteText"/>
      </w:pPr>
      <w:r>
        <w:rPr>
          <w:rStyle w:val="FootnoteReference"/>
        </w:rPr>
        <w:footnoteRef/>
      </w:r>
      <w:r>
        <w:t xml:space="preserve"> </w:t>
      </w:r>
      <w:proofErr w:type="gramStart"/>
      <w:r>
        <w:t>Board Member Statement, at 3.</w:t>
      </w:r>
      <w:proofErr w:type="gramEnd"/>
    </w:p>
  </w:footnote>
  <w:footnote w:id="18">
    <w:p w:rsidR="007E0EE4" w:rsidRDefault="007E0EE4">
      <w:pPr>
        <w:pStyle w:val="FootnoteText"/>
      </w:pPr>
      <w:r>
        <w:rPr>
          <w:rStyle w:val="FootnoteReference"/>
        </w:rPr>
        <w:footnoteRef/>
      </w:r>
      <w:r>
        <w:t xml:space="preserve"> Meaning of “sham”: </w:t>
      </w:r>
      <w:r>
        <w:rPr>
          <w:rFonts w:ascii="Roboto" w:hAnsi="Roboto"/>
          <w:color w:val="1F1F1F"/>
          <w:sz w:val="21"/>
          <w:szCs w:val="21"/>
          <w:shd w:val="clear" w:color="auto" w:fill="FFFFFF"/>
        </w:rPr>
        <w:t>a thing that is not what it is </w:t>
      </w:r>
      <w:hyperlink r:id="rId13" w:history="1">
        <w:r>
          <w:rPr>
            <w:rStyle w:val="Hyperlink"/>
            <w:rFonts w:ascii="Roboto" w:hAnsi="Roboto"/>
            <w:sz w:val="21"/>
            <w:szCs w:val="21"/>
            <w:shd w:val="clear" w:color="auto" w:fill="FFFFFF"/>
          </w:rPr>
          <w:t>purported</w:t>
        </w:r>
      </w:hyperlink>
      <w:r>
        <w:rPr>
          <w:rFonts w:ascii="Roboto" w:hAnsi="Roboto"/>
          <w:color w:val="1F1F1F"/>
          <w:sz w:val="21"/>
          <w:szCs w:val="21"/>
          <w:shd w:val="clear" w:color="auto" w:fill="FFFFFF"/>
        </w:rPr>
        <w:t> to 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67AB49F2ED241BCA2F4F62136402438"/>
      </w:placeholder>
      <w:dataBinding w:prefixMappings="xmlns:ns0='http://schemas.openxmlformats.org/package/2006/metadata/core-properties' xmlns:ns1='http://purl.org/dc/elements/1.1/'" w:xpath="/ns0:coreProperties[1]/ns1:title[1]" w:storeItemID="{6C3C8BC8-F283-45AE-878A-BAB7291924A1}"/>
      <w:text/>
    </w:sdtPr>
    <w:sdtEndPr/>
    <w:sdtContent>
      <w:p w:rsidR="007E0EE4" w:rsidRDefault="007E0EE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Strike Two – </w:t>
        </w:r>
        <w:r w:rsidR="00934B44">
          <w:rPr>
            <w:rFonts w:asciiTheme="majorHAnsi" w:eastAsiaTheme="majorEastAsia" w:hAnsiTheme="majorHAnsi" w:cstheme="majorBidi"/>
            <w:sz w:val="32"/>
            <w:szCs w:val="32"/>
          </w:rPr>
          <w:t xml:space="preserve">Proposed </w:t>
        </w:r>
        <w:r w:rsidR="007F43FE">
          <w:rPr>
            <w:rFonts w:asciiTheme="majorHAnsi" w:eastAsiaTheme="majorEastAsia" w:hAnsiTheme="majorHAnsi" w:cstheme="majorBidi"/>
            <w:sz w:val="32"/>
            <w:szCs w:val="32"/>
          </w:rPr>
          <w:t>By-Law</w:t>
        </w:r>
        <w:r>
          <w:rPr>
            <w:rFonts w:asciiTheme="majorHAnsi" w:eastAsiaTheme="majorEastAsia" w:hAnsiTheme="majorHAnsi" w:cstheme="majorBidi"/>
            <w:sz w:val="32"/>
            <w:szCs w:val="32"/>
          </w:rPr>
          <w:t xml:space="preserve"> 46 is Still Wrong</w:t>
        </w:r>
      </w:p>
    </w:sdtContent>
  </w:sdt>
  <w:p w:rsidR="007E0EE4" w:rsidRDefault="007E0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5E36"/>
    <w:multiLevelType w:val="hybridMultilevel"/>
    <w:tmpl w:val="B1B052A4"/>
    <w:lvl w:ilvl="0" w:tplc="EDBE1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2C57A3E"/>
    <w:multiLevelType w:val="hybridMultilevel"/>
    <w:tmpl w:val="8BB6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0B15AF"/>
    <w:multiLevelType w:val="hybridMultilevel"/>
    <w:tmpl w:val="4218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4A000B"/>
    <w:multiLevelType w:val="hybridMultilevel"/>
    <w:tmpl w:val="DA1CFE3A"/>
    <w:lvl w:ilvl="0" w:tplc="690A1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2C2763"/>
    <w:multiLevelType w:val="hybridMultilevel"/>
    <w:tmpl w:val="BED8F56E"/>
    <w:lvl w:ilvl="0" w:tplc="F0D83C1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36"/>
    <w:rsid w:val="00061FC4"/>
    <w:rsid w:val="00063C9A"/>
    <w:rsid w:val="00072176"/>
    <w:rsid w:val="00072EEF"/>
    <w:rsid w:val="00095F6C"/>
    <w:rsid w:val="000C69CF"/>
    <w:rsid w:val="001142C8"/>
    <w:rsid w:val="00117DDC"/>
    <w:rsid w:val="00126955"/>
    <w:rsid w:val="00135726"/>
    <w:rsid w:val="00137B36"/>
    <w:rsid w:val="0015628D"/>
    <w:rsid w:val="001C246C"/>
    <w:rsid w:val="00214C39"/>
    <w:rsid w:val="002513AD"/>
    <w:rsid w:val="00264458"/>
    <w:rsid w:val="002E4EF2"/>
    <w:rsid w:val="003157A4"/>
    <w:rsid w:val="00377E18"/>
    <w:rsid w:val="00392D88"/>
    <w:rsid w:val="003A1444"/>
    <w:rsid w:val="003A5029"/>
    <w:rsid w:val="003A7ECE"/>
    <w:rsid w:val="003F2998"/>
    <w:rsid w:val="00410ED8"/>
    <w:rsid w:val="0047132D"/>
    <w:rsid w:val="00484DB4"/>
    <w:rsid w:val="004A2021"/>
    <w:rsid w:val="004D5337"/>
    <w:rsid w:val="00515903"/>
    <w:rsid w:val="00555017"/>
    <w:rsid w:val="00583FC1"/>
    <w:rsid w:val="005961B4"/>
    <w:rsid w:val="005C769F"/>
    <w:rsid w:val="00662BCB"/>
    <w:rsid w:val="00671E48"/>
    <w:rsid w:val="00692D79"/>
    <w:rsid w:val="006A60DC"/>
    <w:rsid w:val="00711375"/>
    <w:rsid w:val="007255E2"/>
    <w:rsid w:val="00785941"/>
    <w:rsid w:val="007A2431"/>
    <w:rsid w:val="007C7AAD"/>
    <w:rsid w:val="007E0EE4"/>
    <w:rsid w:val="007F07A6"/>
    <w:rsid w:val="007F43FE"/>
    <w:rsid w:val="007F465B"/>
    <w:rsid w:val="00815D77"/>
    <w:rsid w:val="0083235B"/>
    <w:rsid w:val="00893AA6"/>
    <w:rsid w:val="0090188D"/>
    <w:rsid w:val="009079F3"/>
    <w:rsid w:val="00911B51"/>
    <w:rsid w:val="00922CBA"/>
    <w:rsid w:val="00934B44"/>
    <w:rsid w:val="009658E0"/>
    <w:rsid w:val="009B3E48"/>
    <w:rsid w:val="00B20C86"/>
    <w:rsid w:val="00C06E64"/>
    <w:rsid w:val="00C81D15"/>
    <w:rsid w:val="00C93931"/>
    <w:rsid w:val="00CD2A05"/>
    <w:rsid w:val="00CF4E82"/>
    <w:rsid w:val="00D06C39"/>
    <w:rsid w:val="00D231DD"/>
    <w:rsid w:val="00D253B9"/>
    <w:rsid w:val="00D917EC"/>
    <w:rsid w:val="00DF1149"/>
    <w:rsid w:val="00E10C65"/>
    <w:rsid w:val="00EC72F8"/>
    <w:rsid w:val="00F90A39"/>
    <w:rsid w:val="00FB0F10"/>
    <w:rsid w:val="00FB45F7"/>
    <w:rsid w:val="00FB5331"/>
    <w:rsid w:val="00FB7375"/>
    <w:rsid w:val="00FC38EF"/>
    <w:rsid w:val="00FD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92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0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0DC"/>
    <w:rPr>
      <w:sz w:val="20"/>
      <w:szCs w:val="20"/>
    </w:rPr>
  </w:style>
  <w:style w:type="character" w:styleId="FootnoteReference">
    <w:name w:val="footnote reference"/>
    <w:basedOn w:val="DefaultParagraphFont"/>
    <w:uiPriority w:val="99"/>
    <w:semiHidden/>
    <w:unhideWhenUsed/>
    <w:rsid w:val="006A60DC"/>
    <w:rPr>
      <w:vertAlign w:val="superscript"/>
    </w:rPr>
  </w:style>
  <w:style w:type="character" w:styleId="Hyperlink">
    <w:name w:val="Hyperlink"/>
    <w:basedOn w:val="DefaultParagraphFont"/>
    <w:uiPriority w:val="99"/>
    <w:unhideWhenUsed/>
    <w:rsid w:val="006A60DC"/>
    <w:rPr>
      <w:color w:val="0000FF" w:themeColor="hyperlink"/>
      <w:u w:val="single"/>
    </w:rPr>
  </w:style>
  <w:style w:type="paragraph" w:styleId="Header">
    <w:name w:val="header"/>
    <w:basedOn w:val="Normal"/>
    <w:link w:val="HeaderChar"/>
    <w:uiPriority w:val="99"/>
    <w:unhideWhenUsed/>
    <w:rsid w:val="00901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88D"/>
  </w:style>
  <w:style w:type="paragraph" w:styleId="Footer">
    <w:name w:val="footer"/>
    <w:basedOn w:val="Normal"/>
    <w:link w:val="FooterChar"/>
    <w:uiPriority w:val="99"/>
    <w:unhideWhenUsed/>
    <w:rsid w:val="00901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88D"/>
  </w:style>
  <w:style w:type="character" w:styleId="FollowedHyperlink">
    <w:name w:val="FollowedHyperlink"/>
    <w:basedOn w:val="DefaultParagraphFont"/>
    <w:uiPriority w:val="99"/>
    <w:semiHidden/>
    <w:unhideWhenUsed/>
    <w:rsid w:val="0090188D"/>
    <w:rPr>
      <w:color w:val="800080" w:themeColor="followedHyperlink"/>
      <w:u w:val="single"/>
    </w:rPr>
  </w:style>
  <w:style w:type="paragraph" w:styleId="ListParagraph">
    <w:name w:val="List Paragraph"/>
    <w:basedOn w:val="Normal"/>
    <w:uiPriority w:val="34"/>
    <w:qFormat/>
    <w:rsid w:val="00CD2A05"/>
    <w:pPr>
      <w:ind w:left="720"/>
      <w:contextualSpacing/>
    </w:pPr>
  </w:style>
  <w:style w:type="character" w:styleId="Strong">
    <w:name w:val="Strong"/>
    <w:basedOn w:val="DefaultParagraphFont"/>
    <w:uiPriority w:val="22"/>
    <w:qFormat/>
    <w:rsid w:val="00583FC1"/>
    <w:rPr>
      <w:b/>
      <w:bCs/>
    </w:rPr>
  </w:style>
  <w:style w:type="paragraph" w:styleId="NormalWeb">
    <w:name w:val="Normal (Web)"/>
    <w:basedOn w:val="Normal"/>
    <w:uiPriority w:val="99"/>
    <w:semiHidden/>
    <w:unhideWhenUsed/>
    <w:rsid w:val="00583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92D88"/>
    <w:rPr>
      <w:rFonts w:ascii="Times New Roman" w:eastAsia="Times New Roman" w:hAnsi="Times New Roman" w:cs="Times New Roman"/>
      <w:b/>
      <w:bCs/>
      <w:sz w:val="27"/>
      <w:szCs w:val="27"/>
    </w:rPr>
  </w:style>
  <w:style w:type="character" w:customStyle="1" w:styleId="hgkelc">
    <w:name w:val="hgkelc"/>
    <w:basedOn w:val="DefaultParagraphFont"/>
    <w:rsid w:val="00392D88"/>
  </w:style>
  <w:style w:type="character" w:customStyle="1" w:styleId="vuuxrf">
    <w:name w:val="vuuxrf"/>
    <w:basedOn w:val="DefaultParagraphFont"/>
    <w:rsid w:val="00392D88"/>
  </w:style>
  <w:style w:type="character" w:customStyle="1" w:styleId="aranob">
    <w:name w:val="aranob"/>
    <w:basedOn w:val="DefaultParagraphFont"/>
    <w:rsid w:val="00FB7375"/>
  </w:style>
  <w:style w:type="character" w:customStyle="1" w:styleId="catchln">
    <w:name w:val="catchln"/>
    <w:basedOn w:val="DefaultParagraphFont"/>
    <w:rsid w:val="00377E18"/>
  </w:style>
  <w:style w:type="paragraph" w:customStyle="1" w:styleId="ydp96ef9228yiv6231379933ydpc84ecee7yiv9554363629msonormal">
    <w:name w:val="ydp96ef9228yiv6231379933ydpc84ecee7yiv9554363629msonormal"/>
    <w:basedOn w:val="Normal"/>
    <w:rsid w:val="001142C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5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03"/>
    <w:rPr>
      <w:rFonts w:ascii="Tahoma" w:hAnsi="Tahoma" w:cs="Tahoma"/>
      <w:sz w:val="16"/>
      <w:szCs w:val="16"/>
    </w:rPr>
  </w:style>
  <w:style w:type="paragraph" w:customStyle="1" w:styleId="xydp96ef9228yiv6231379933ydpc84ecee7yiv9554363629msonormal">
    <w:name w:val="x_ydp96ef9228yiv6231379933ydpc84ecee7yiv9554363629msonormal"/>
    <w:basedOn w:val="Normal"/>
    <w:rsid w:val="002513AD"/>
    <w:pPr>
      <w:spacing w:before="100" w:beforeAutospacing="1" w:after="100" w:afterAutospacing="1" w:line="240" w:lineRule="auto"/>
    </w:pPr>
    <w:rPr>
      <w:rFonts w:ascii="Times New Roman" w:hAnsi="Times New Roman" w:cs="Times New Roman"/>
      <w:sz w:val="24"/>
      <w:szCs w:val="24"/>
    </w:rPr>
  </w:style>
  <w:style w:type="character" w:customStyle="1" w:styleId="ydpe8f26177cf0">
    <w:name w:val="ydpe8f26177cf0"/>
    <w:basedOn w:val="DefaultParagraphFont"/>
    <w:rsid w:val="00815D77"/>
  </w:style>
  <w:style w:type="character" w:customStyle="1" w:styleId="ydpe8f26177cf1">
    <w:name w:val="ydpe8f26177cf1"/>
    <w:basedOn w:val="DefaultParagraphFont"/>
    <w:rsid w:val="00815D77"/>
  </w:style>
  <w:style w:type="character" w:customStyle="1" w:styleId="Heading1Char">
    <w:name w:val="Heading 1 Char"/>
    <w:basedOn w:val="DefaultParagraphFont"/>
    <w:link w:val="Heading1"/>
    <w:uiPriority w:val="9"/>
    <w:rsid w:val="00FB45F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92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0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0DC"/>
    <w:rPr>
      <w:sz w:val="20"/>
      <w:szCs w:val="20"/>
    </w:rPr>
  </w:style>
  <w:style w:type="character" w:styleId="FootnoteReference">
    <w:name w:val="footnote reference"/>
    <w:basedOn w:val="DefaultParagraphFont"/>
    <w:uiPriority w:val="99"/>
    <w:semiHidden/>
    <w:unhideWhenUsed/>
    <w:rsid w:val="006A60DC"/>
    <w:rPr>
      <w:vertAlign w:val="superscript"/>
    </w:rPr>
  </w:style>
  <w:style w:type="character" w:styleId="Hyperlink">
    <w:name w:val="Hyperlink"/>
    <w:basedOn w:val="DefaultParagraphFont"/>
    <w:uiPriority w:val="99"/>
    <w:unhideWhenUsed/>
    <w:rsid w:val="006A60DC"/>
    <w:rPr>
      <w:color w:val="0000FF" w:themeColor="hyperlink"/>
      <w:u w:val="single"/>
    </w:rPr>
  </w:style>
  <w:style w:type="paragraph" w:styleId="Header">
    <w:name w:val="header"/>
    <w:basedOn w:val="Normal"/>
    <w:link w:val="HeaderChar"/>
    <w:uiPriority w:val="99"/>
    <w:unhideWhenUsed/>
    <w:rsid w:val="00901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88D"/>
  </w:style>
  <w:style w:type="paragraph" w:styleId="Footer">
    <w:name w:val="footer"/>
    <w:basedOn w:val="Normal"/>
    <w:link w:val="FooterChar"/>
    <w:uiPriority w:val="99"/>
    <w:unhideWhenUsed/>
    <w:rsid w:val="00901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88D"/>
  </w:style>
  <w:style w:type="character" w:styleId="FollowedHyperlink">
    <w:name w:val="FollowedHyperlink"/>
    <w:basedOn w:val="DefaultParagraphFont"/>
    <w:uiPriority w:val="99"/>
    <w:semiHidden/>
    <w:unhideWhenUsed/>
    <w:rsid w:val="0090188D"/>
    <w:rPr>
      <w:color w:val="800080" w:themeColor="followedHyperlink"/>
      <w:u w:val="single"/>
    </w:rPr>
  </w:style>
  <w:style w:type="paragraph" w:styleId="ListParagraph">
    <w:name w:val="List Paragraph"/>
    <w:basedOn w:val="Normal"/>
    <w:uiPriority w:val="34"/>
    <w:qFormat/>
    <w:rsid w:val="00CD2A05"/>
    <w:pPr>
      <w:ind w:left="720"/>
      <w:contextualSpacing/>
    </w:pPr>
  </w:style>
  <w:style w:type="character" w:styleId="Strong">
    <w:name w:val="Strong"/>
    <w:basedOn w:val="DefaultParagraphFont"/>
    <w:uiPriority w:val="22"/>
    <w:qFormat/>
    <w:rsid w:val="00583FC1"/>
    <w:rPr>
      <w:b/>
      <w:bCs/>
    </w:rPr>
  </w:style>
  <w:style w:type="paragraph" w:styleId="NormalWeb">
    <w:name w:val="Normal (Web)"/>
    <w:basedOn w:val="Normal"/>
    <w:uiPriority w:val="99"/>
    <w:semiHidden/>
    <w:unhideWhenUsed/>
    <w:rsid w:val="00583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92D88"/>
    <w:rPr>
      <w:rFonts w:ascii="Times New Roman" w:eastAsia="Times New Roman" w:hAnsi="Times New Roman" w:cs="Times New Roman"/>
      <w:b/>
      <w:bCs/>
      <w:sz w:val="27"/>
      <w:szCs w:val="27"/>
    </w:rPr>
  </w:style>
  <w:style w:type="character" w:customStyle="1" w:styleId="hgkelc">
    <w:name w:val="hgkelc"/>
    <w:basedOn w:val="DefaultParagraphFont"/>
    <w:rsid w:val="00392D88"/>
  </w:style>
  <w:style w:type="character" w:customStyle="1" w:styleId="vuuxrf">
    <w:name w:val="vuuxrf"/>
    <w:basedOn w:val="DefaultParagraphFont"/>
    <w:rsid w:val="00392D88"/>
  </w:style>
  <w:style w:type="character" w:customStyle="1" w:styleId="aranob">
    <w:name w:val="aranob"/>
    <w:basedOn w:val="DefaultParagraphFont"/>
    <w:rsid w:val="00FB7375"/>
  </w:style>
  <w:style w:type="character" w:customStyle="1" w:styleId="catchln">
    <w:name w:val="catchln"/>
    <w:basedOn w:val="DefaultParagraphFont"/>
    <w:rsid w:val="00377E18"/>
  </w:style>
  <w:style w:type="paragraph" w:customStyle="1" w:styleId="ydp96ef9228yiv6231379933ydpc84ecee7yiv9554363629msonormal">
    <w:name w:val="ydp96ef9228yiv6231379933ydpc84ecee7yiv9554363629msonormal"/>
    <w:basedOn w:val="Normal"/>
    <w:rsid w:val="001142C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5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03"/>
    <w:rPr>
      <w:rFonts w:ascii="Tahoma" w:hAnsi="Tahoma" w:cs="Tahoma"/>
      <w:sz w:val="16"/>
      <w:szCs w:val="16"/>
    </w:rPr>
  </w:style>
  <w:style w:type="paragraph" w:customStyle="1" w:styleId="xydp96ef9228yiv6231379933ydpc84ecee7yiv9554363629msonormal">
    <w:name w:val="x_ydp96ef9228yiv6231379933ydpc84ecee7yiv9554363629msonormal"/>
    <w:basedOn w:val="Normal"/>
    <w:rsid w:val="002513AD"/>
    <w:pPr>
      <w:spacing w:before="100" w:beforeAutospacing="1" w:after="100" w:afterAutospacing="1" w:line="240" w:lineRule="auto"/>
    </w:pPr>
    <w:rPr>
      <w:rFonts w:ascii="Times New Roman" w:hAnsi="Times New Roman" w:cs="Times New Roman"/>
      <w:sz w:val="24"/>
      <w:szCs w:val="24"/>
    </w:rPr>
  </w:style>
  <w:style w:type="character" w:customStyle="1" w:styleId="ydpe8f26177cf0">
    <w:name w:val="ydpe8f26177cf0"/>
    <w:basedOn w:val="DefaultParagraphFont"/>
    <w:rsid w:val="00815D77"/>
  </w:style>
  <w:style w:type="character" w:customStyle="1" w:styleId="ydpe8f26177cf1">
    <w:name w:val="ydpe8f26177cf1"/>
    <w:basedOn w:val="DefaultParagraphFont"/>
    <w:rsid w:val="00815D77"/>
  </w:style>
  <w:style w:type="character" w:customStyle="1" w:styleId="Heading1Char">
    <w:name w:val="Heading 1 Char"/>
    <w:basedOn w:val="DefaultParagraphFont"/>
    <w:link w:val="Heading1"/>
    <w:uiPriority w:val="9"/>
    <w:rsid w:val="00FB45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5446">
      <w:bodyDiv w:val="1"/>
      <w:marLeft w:val="0"/>
      <w:marRight w:val="0"/>
      <w:marTop w:val="0"/>
      <w:marBottom w:val="0"/>
      <w:divBdr>
        <w:top w:val="none" w:sz="0" w:space="0" w:color="auto"/>
        <w:left w:val="none" w:sz="0" w:space="0" w:color="auto"/>
        <w:bottom w:val="none" w:sz="0" w:space="0" w:color="auto"/>
        <w:right w:val="none" w:sz="0" w:space="0" w:color="auto"/>
      </w:divBdr>
      <w:divsChild>
        <w:div w:id="877426430">
          <w:marLeft w:val="0"/>
          <w:marRight w:val="0"/>
          <w:marTop w:val="0"/>
          <w:marBottom w:val="0"/>
          <w:divBdr>
            <w:top w:val="none" w:sz="0" w:space="0" w:color="auto"/>
            <w:left w:val="none" w:sz="0" w:space="0" w:color="auto"/>
            <w:bottom w:val="none" w:sz="0" w:space="0" w:color="auto"/>
            <w:right w:val="none" w:sz="0" w:space="0" w:color="auto"/>
          </w:divBdr>
          <w:divsChild>
            <w:div w:id="1289052064">
              <w:marLeft w:val="0"/>
              <w:marRight w:val="0"/>
              <w:marTop w:val="0"/>
              <w:marBottom w:val="60"/>
              <w:divBdr>
                <w:top w:val="none" w:sz="0" w:space="0" w:color="auto"/>
                <w:left w:val="none" w:sz="0" w:space="0" w:color="auto"/>
                <w:bottom w:val="none" w:sz="0" w:space="0" w:color="auto"/>
                <w:right w:val="none" w:sz="0" w:space="0" w:color="auto"/>
              </w:divBdr>
              <w:divsChild>
                <w:div w:id="1243299322">
                  <w:marLeft w:val="0"/>
                  <w:marRight w:val="0"/>
                  <w:marTop w:val="0"/>
                  <w:marBottom w:val="0"/>
                  <w:divBdr>
                    <w:top w:val="none" w:sz="0" w:space="0" w:color="auto"/>
                    <w:left w:val="none" w:sz="0" w:space="0" w:color="auto"/>
                    <w:bottom w:val="none" w:sz="0" w:space="0" w:color="auto"/>
                    <w:right w:val="none" w:sz="0" w:space="0" w:color="auto"/>
                  </w:divBdr>
                  <w:divsChild>
                    <w:div w:id="1834564017">
                      <w:marLeft w:val="0"/>
                      <w:marRight w:val="0"/>
                      <w:marTop w:val="0"/>
                      <w:marBottom w:val="0"/>
                      <w:divBdr>
                        <w:top w:val="none" w:sz="0" w:space="0" w:color="auto"/>
                        <w:left w:val="none" w:sz="0" w:space="0" w:color="auto"/>
                        <w:bottom w:val="none" w:sz="0" w:space="0" w:color="auto"/>
                        <w:right w:val="none" w:sz="0" w:space="0" w:color="auto"/>
                      </w:divBdr>
                      <w:divsChild>
                        <w:div w:id="495193916">
                          <w:marLeft w:val="0"/>
                          <w:marRight w:val="0"/>
                          <w:marTop w:val="0"/>
                          <w:marBottom w:val="0"/>
                          <w:divBdr>
                            <w:top w:val="none" w:sz="0" w:space="0" w:color="auto"/>
                            <w:left w:val="none" w:sz="0" w:space="0" w:color="auto"/>
                            <w:bottom w:val="none" w:sz="0" w:space="0" w:color="auto"/>
                            <w:right w:val="none" w:sz="0" w:space="0" w:color="auto"/>
                          </w:divBdr>
                          <w:divsChild>
                            <w:div w:id="672682597">
                              <w:marLeft w:val="0"/>
                              <w:marRight w:val="0"/>
                              <w:marTop w:val="0"/>
                              <w:marBottom w:val="0"/>
                              <w:divBdr>
                                <w:top w:val="none" w:sz="0" w:space="0" w:color="auto"/>
                                <w:left w:val="none" w:sz="0" w:space="0" w:color="auto"/>
                                <w:bottom w:val="none" w:sz="0" w:space="0" w:color="auto"/>
                                <w:right w:val="none" w:sz="0" w:space="0" w:color="auto"/>
                              </w:divBdr>
                              <w:divsChild>
                                <w:div w:id="514852805">
                                  <w:marLeft w:val="0"/>
                                  <w:marRight w:val="0"/>
                                  <w:marTop w:val="0"/>
                                  <w:marBottom w:val="0"/>
                                  <w:divBdr>
                                    <w:top w:val="none" w:sz="0" w:space="0" w:color="auto"/>
                                    <w:left w:val="none" w:sz="0" w:space="0" w:color="auto"/>
                                    <w:bottom w:val="none" w:sz="0" w:space="0" w:color="auto"/>
                                    <w:right w:val="none" w:sz="0" w:space="0" w:color="auto"/>
                                  </w:divBdr>
                                  <w:divsChild>
                                    <w:div w:id="1078360143">
                                      <w:marLeft w:val="0"/>
                                      <w:marRight w:val="0"/>
                                      <w:marTop w:val="0"/>
                                      <w:marBottom w:val="0"/>
                                      <w:divBdr>
                                        <w:top w:val="none" w:sz="0" w:space="0" w:color="auto"/>
                                        <w:left w:val="none" w:sz="0" w:space="0" w:color="auto"/>
                                        <w:bottom w:val="none" w:sz="0" w:space="0" w:color="auto"/>
                                        <w:right w:val="none" w:sz="0" w:space="0" w:color="auto"/>
                                      </w:divBdr>
                                      <w:divsChild>
                                        <w:div w:id="390274522">
                                          <w:marLeft w:val="0"/>
                                          <w:marRight w:val="0"/>
                                          <w:marTop w:val="0"/>
                                          <w:marBottom w:val="0"/>
                                          <w:divBdr>
                                            <w:top w:val="none" w:sz="0" w:space="0" w:color="auto"/>
                                            <w:left w:val="none" w:sz="0" w:space="0" w:color="auto"/>
                                            <w:bottom w:val="none" w:sz="0" w:space="0" w:color="auto"/>
                                            <w:right w:val="none" w:sz="0" w:space="0" w:color="auto"/>
                                          </w:divBdr>
                                          <w:divsChild>
                                            <w:div w:id="1300266460">
                                              <w:marLeft w:val="0"/>
                                              <w:marRight w:val="0"/>
                                              <w:marTop w:val="0"/>
                                              <w:marBottom w:val="0"/>
                                              <w:divBdr>
                                                <w:top w:val="none" w:sz="0" w:space="0" w:color="auto"/>
                                                <w:left w:val="none" w:sz="0" w:space="0" w:color="auto"/>
                                                <w:bottom w:val="none" w:sz="0" w:space="0" w:color="auto"/>
                                                <w:right w:val="none" w:sz="0" w:space="0" w:color="auto"/>
                                              </w:divBdr>
                                            </w:div>
                                          </w:divsChild>
                                        </w:div>
                                        <w:div w:id="5150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883203">
          <w:marLeft w:val="0"/>
          <w:marRight w:val="0"/>
          <w:marTop w:val="0"/>
          <w:marBottom w:val="0"/>
          <w:divBdr>
            <w:top w:val="none" w:sz="0" w:space="0" w:color="auto"/>
            <w:left w:val="none" w:sz="0" w:space="0" w:color="auto"/>
            <w:bottom w:val="none" w:sz="0" w:space="0" w:color="auto"/>
            <w:right w:val="none" w:sz="0" w:space="0" w:color="auto"/>
          </w:divBdr>
          <w:divsChild>
            <w:div w:id="102637184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041">
      <w:bodyDiv w:val="1"/>
      <w:marLeft w:val="0"/>
      <w:marRight w:val="0"/>
      <w:marTop w:val="0"/>
      <w:marBottom w:val="0"/>
      <w:divBdr>
        <w:top w:val="none" w:sz="0" w:space="0" w:color="auto"/>
        <w:left w:val="none" w:sz="0" w:space="0" w:color="auto"/>
        <w:bottom w:val="none" w:sz="0" w:space="0" w:color="auto"/>
        <w:right w:val="none" w:sz="0" w:space="0" w:color="auto"/>
      </w:divBdr>
    </w:div>
    <w:div w:id="509376185">
      <w:bodyDiv w:val="1"/>
      <w:marLeft w:val="0"/>
      <w:marRight w:val="0"/>
      <w:marTop w:val="0"/>
      <w:marBottom w:val="0"/>
      <w:divBdr>
        <w:top w:val="none" w:sz="0" w:space="0" w:color="auto"/>
        <w:left w:val="none" w:sz="0" w:space="0" w:color="auto"/>
        <w:bottom w:val="none" w:sz="0" w:space="0" w:color="auto"/>
        <w:right w:val="none" w:sz="0" w:space="0" w:color="auto"/>
      </w:divBdr>
    </w:div>
    <w:div w:id="513954656">
      <w:bodyDiv w:val="1"/>
      <w:marLeft w:val="0"/>
      <w:marRight w:val="0"/>
      <w:marTop w:val="0"/>
      <w:marBottom w:val="0"/>
      <w:divBdr>
        <w:top w:val="none" w:sz="0" w:space="0" w:color="auto"/>
        <w:left w:val="none" w:sz="0" w:space="0" w:color="auto"/>
        <w:bottom w:val="none" w:sz="0" w:space="0" w:color="auto"/>
        <w:right w:val="none" w:sz="0" w:space="0" w:color="auto"/>
      </w:divBdr>
    </w:div>
    <w:div w:id="532965531">
      <w:bodyDiv w:val="1"/>
      <w:marLeft w:val="0"/>
      <w:marRight w:val="0"/>
      <w:marTop w:val="0"/>
      <w:marBottom w:val="0"/>
      <w:divBdr>
        <w:top w:val="none" w:sz="0" w:space="0" w:color="auto"/>
        <w:left w:val="none" w:sz="0" w:space="0" w:color="auto"/>
        <w:bottom w:val="none" w:sz="0" w:space="0" w:color="auto"/>
        <w:right w:val="none" w:sz="0" w:space="0" w:color="auto"/>
      </w:divBdr>
    </w:div>
    <w:div w:id="717553750">
      <w:bodyDiv w:val="1"/>
      <w:marLeft w:val="0"/>
      <w:marRight w:val="0"/>
      <w:marTop w:val="0"/>
      <w:marBottom w:val="0"/>
      <w:divBdr>
        <w:top w:val="none" w:sz="0" w:space="0" w:color="auto"/>
        <w:left w:val="none" w:sz="0" w:space="0" w:color="auto"/>
        <w:bottom w:val="none" w:sz="0" w:space="0" w:color="auto"/>
        <w:right w:val="none" w:sz="0" w:space="0" w:color="auto"/>
      </w:divBdr>
    </w:div>
    <w:div w:id="1423452633">
      <w:bodyDiv w:val="1"/>
      <w:marLeft w:val="0"/>
      <w:marRight w:val="0"/>
      <w:marTop w:val="0"/>
      <w:marBottom w:val="0"/>
      <w:divBdr>
        <w:top w:val="none" w:sz="0" w:space="0" w:color="auto"/>
        <w:left w:val="none" w:sz="0" w:space="0" w:color="auto"/>
        <w:bottom w:val="none" w:sz="0" w:space="0" w:color="auto"/>
        <w:right w:val="none" w:sz="0" w:space="0" w:color="auto"/>
      </w:divBdr>
    </w:div>
    <w:div w:id="1544249572">
      <w:bodyDiv w:val="1"/>
      <w:marLeft w:val="0"/>
      <w:marRight w:val="0"/>
      <w:marTop w:val="0"/>
      <w:marBottom w:val="0"/>
      <w:divBdr>
        <w:top w:val="none" w:sz="0" w:space="0" w:color="auto"/>
        <w:left w:val="none" w:sz="0" w:space="0" w:color="auto"/>
        <w:bottom w:val="none" w:sz="0" w:space="0" w:color="auto"/>
        <w:right w:val="none" w:sz="0" w:space="0" w:color="auto"/>
      </w:divBdr>
    </w:div>
    <w:div w:id="1568154102">
      <w:bodyDiv w:val="1"/>
      <w:marLeft w:val="0"/>
      <w:marRight w:val="0"/>
      <w:marTop w:val="0"/>
      <w:marBottom w:val="0"/>
      <w:divBdr>
        <w:top w:val="none" w:sz="0" w:space="0" w:color="auto"/>
        <w:left w:val="none" w:sz="0" w:space="0" w:color="auto"/>
        <w:bottom w:val="none" w:sz="0" w:space="0" w:color="auto"/>
        <w:right w:val="none" w:sz="0" w:space="0" w:color="auto"/>
      </w:divBdr>
    </w:div>
    <w:div w:id="1738743634">
      <w:bodyDiv w:val="1"/>
      <w:marLeft w:val="0"/>
      <w:marRight w:val="0"/>
      <w:marTop w:val="0"/>
      <w:marBottom w:val="0"/>
      <w:divBdr>
        <w:top w:val="none" w:sz="0" w:space="0" w:color="auto"/>
        <w:left w:val="none" w:sz="0" w:space="0" w:color="auto"/>
        <w:bottom w:val="none" w:sz="0" w:space="0" w:color="auto"/>
        <w:right w:val="none" w:sz="0" w:space="0" w:color="auto"/>
      </w:divBdr>
    </w:div>
    <w:div w:id="1816410543">
      <w:bodyDiv w:val="1"/>
      <w:marLeft w:val="0"/>
      <w:marRight w:val="0"/>
      <w:marTop w:val="0"/>
      <w:marBottom w:val="0"/>
      <w:divBdr>
        <w:top w:val="none" w:sz="0" w:space="0" w:color="auto"/>
        <w:left w:val="none" w:sz="0" w:space="0" w:color="auto"/>
        <w:bottom w:val="none" w:sz="0" w:space="0" w:color="auto"/>
        <w:right w:val="none" w:sz="0" w:space="0" w:color="auto"/>
      </w:divBdr>
    </w:div>
    <w:div w:id="1830094257">
      <w:bodyDiv w:val="1"/>
      <w:marLeft w:val="0"/>
      <w:marRight w:val="0"/>
      <w:marTop w:val="0"/>
      <w:marBottom w:val="0"/>
      <w:divBdr>
        <w:top w:val="none" w:sz="0" w:space="0" w:color="auto"/>
        <w:left w:val="none" w:sz="0" w:space="0" w:color="auto"/>
        <w:bottom w:val="none" w:sz="0" w:space="0" w:color="auto"/>
        <w:right w:val="none" w:sz="0" w:space="0" w:color="auto"/>
      </w:divBdr>
    </w:div>
    <w:div w:id="19061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ga.ct.gov/2021/pub/chap_602.ht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arrl.org/arrl-articles-of-association" TargetMode="External"/><Relationship Id="rId4" Type="http://schemas.microsoft.com/office/2007/relationships/stylesWithEffects" Target="stylesWithEffects.xml"/><Relationship Id="rId9" Type="http://schemas.openxmlformats.org/officeDocument/2006/relationships/hyperlink" Target="https://www.arrl.org/director-workboo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rrl.org/arrl-articles-of-association" TargetMode="External"/><Relationship Id="rId13" Type="http://schemas.openxmlformats.org/officeDocument/2006/relationships/hyperlink" Target="https://www.google.com/search?sca_esv=a07c2ae409b09fe4&amp;rlz=1C1PRFC_enUS813US864&amp;sxsrf=ADLYWIKRwkD0AzmZnhDo6f3lUvDzEY-mcA:1733362035479&amp;q=purported&amp;si=ACC90nxMSPeZfdJJjQgDsdZJuFuJSLYtoHE_FUkwBfx09qCfQxF7Q0a6EMA81v7MMF0hBT2GboXJFb7I00dvg7O3jNiwH92FqIhsgtoAM83Y9ub8XlVc2GM%3D&amp;expnd=1&amp;sa=X&amp;ved=2ahUKEwj475DjvI-KAxXpKFkFHW48AQUQyecJegQIPRAO" TargetMode="External"/><Relationship Id="rId3" Type="http://schemas.openxmlformats.org/officeDocument/2006/relationships/hyperlink" Target="https://www.arrl.org/files/file/2024%20Director%20Workbook/1_2%20Standing%20Orders%202024-01-20%20Topic.pdf" TargetMode="External"/><Relationship Id="rId7" Type="http://schemas.openxmlformats.org/officeDocument/2006/relationships/hyperlink" Target="https://www.cga.ct.gov/2021/pub/chap_602.htm" TargetMode="External"/><Relationship Id="rId12" Type="http://schemas.openxmlformats.org/officeDocument/2006/relationships/hyperlink" Target="https://www.law.cornell.edu/wex/evidence" TargetMode="External"/><Relationship Id="rId2" Type="http://schemas.openxmlformats.org/officeDocument/2006/relationships/hyperlink" Target="https://www.ethics.senate.gov/downloads/pdffiles/small_books/CodeOfConduct.pdf" TargetMode="External"/><Relationship Id="rId1" Type="http://schemas.openxmlformats.org/officeDocument/2006/relationships/hyperlink" Target="https://www.the-ten-commandments.org/the-ten-commandments.html" TargetMode="External"/><Relationship Id="rId6" Type="http://schemas.openxmlformats.org/officeDocument/2006/relationships/hyperlink" Target="https://www.arrl.org/files/file/About%20ARRL/By-Laws/Proposed/ARRL%20Board%20Member%20Statement%202024-11-16.pdf" TargetMode="External"/><Relationship Id="rId11" Type="http://schemas.openxmlformats.org/officeDocument/2006/relationships/hyperlink" Target="https://www.arrl.org/files/file/About%20ARRL/Standing%20Orders%202024-07-20%20Topic.pdf" TargetMode="External"/><Relationship Id="rId5" Type="http://schemas.openxmlformats.org/officeDocument/2006/relationships/hyperlink" Target="https://www.arrl.org/files/file/About%20ARRL/By-Laws/Proposed/ARRL%20Board%20Member%20Statement%202024-11-16.pdf" TargetMode="External"/><Relationship Id="rId10" Type="http://schemas.openxmlformats.org/officeDocument/2006/relationships/hyperlink" Target="https://www.arrl.org/arrl-rules-regulations" TargetMode="External"/><Relationship Id="rId4" Type="http://schemas.openxmlformats.org/officeDocument/2006/relationships/hyperlink" Target="https://www.arrl.org/files/file/About%20ARRL/By-Laws/Proposed/Proposed%20By-Law%2046%202024-11-16.pdf" TargetMode="External"/><Relationship Id="rId9" Type="http://schemas.openxmlformats.org/officeDocument/2006/relationships/hyperlink" Target="https://www.arrl.org/files/file/About%20ARRL/ByLaws%202024%20Jan%2001_20_24.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7AB49F2ED241BCA2F4F62136402438"/>
        <w:category>
          <w:name w:val="General"/>
          <w:gallery w:val="placeholder"/>
        </w:category>
        <w:types>
          <w:type w:val="bbPlcHdr"/>
        </w:types>
        <w:behaviors>
          <w:behavior w:val="content"/>
        </w:behaviors>
        <w:guid w:val="{B95DD724-8F35-49FE-BFFB-8D4C05BA9CC0}"/>
      </w:docPartPr>
      <w:docPartBody>
        <w:p w:rsidR="00C1559B" w:rsidRDefault="00C1559B" w:rsidP="00C1559B">
          <w:pPr>
            <w:pStyle w:val="667AB49F2ED241BCA2F4F6213640243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9B"/>
    <w:rsid w:val="003D4B2A"/>
    <w:rsid w:val="00C1559B"/>
    <w:rsid w:val="00C61FD3"/>
    <w:rsid w:val="00DA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7AB49F2ED241BCA2F4F62136402438">
    <w:name w:val="667AB49F2ED241BCA2F4F62136402438"/>
    <w:rsid w:val="00C155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7AB49F2ED241BCA2F4F62136402438">
    <w:name w:val="667AB49F2ED241BCA2F4F62136402438"/>
    <w:rsid w:val="00C1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5FD07-D6DA-4AEC-89FF-0C19C637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Strike Two – Proposed By-Law 46 is Still Wrong</vt:lpstr>
    </vt:vector>
  </TitlesOfParts>
  <Company>Microsoft</Company>
  <LinksUpToDate>false</LinksUpToDate>
  <CharactersWithSpaces>28157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Strike Two – Proposed By-Law 46 is Still Wrong</dc:title>
  <dc:creator>Fred Hopengarten</dc:creator>
  <cp:lastModifiedBy>Fred Hopengarten</cp:lastModifiedBy>
  <cp:revision>3</cp:revision>
  <cp:lastPrinted>2025-01-03T20:01:00Z</cp:lastPrinted>
  <dcterms:created xsi:type="dcterms:W3CDTF">2025-01-03T06:39:00Z</dcterms:created>
  <dcterms:modified xsi:type="dcterms:W3CDTF">2025-01-03T20:01:00Z</dcterms:modified>
</cp:coreProperties>
</file>